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3C0C" w14:textId="6385759A" w:rsidR="00EF192F" w:rsidRPr="002615AF" w:rsidRDefault="002615AF" w:rsidP="002615AF">
      <w:pPr>
        <w:jc w:val="right"/>
        <w:rPr>
          <w:rFonts w:ascii="Arial" w:hAnsi="Arial" w:cs="Arial"/>
          <w:i/>
          <w:iCs/>
          <w:color w:val="000000" w:themeColor="text1"/>
          <w:lang w:val="ro-RO"/>
        </w:rPr>
      </w:pPr>
      <w:r w:rsidRPr="002615AF">
        <w:rPr>
          <w:rFonts w:ascii="Arial" w:hAnsi="Arial" w:cs="Arial"/>
          <w:i/>
          <w:iCs/>
          <w:color w:val="000000" w:themeColor="text1"/>
          <w:lang w:val="ro-RO"/>
        </w:rPr>
        <w:t>Traducere neoficială</w:t>
      </w:r>
    </w:p>
    <w:p w14:paraId="18C35B8A" w14:textId="77777777" w:rsidR="00717DF0" w:rsidRPr="00C31FFF" w:rsidRDefault="00717DF0" w:rsidP="00C31FFF">
      <w:pPr>
        <w:pStyle w:val="BodyText"/>
        <w:spacing w:line="276" w:lineRule="auto"/>
        <w:ind w:left="232"/>
        <w:jc w:val="both"/>
        <w:rPr>
          <w:rFonts w:ascii="Arial" w:hAnsi="Arial" w:cs="Arial"/>
          <w:color w:val="000000" w:themeColor="text1"/>
          <w:sz w:val="20"/>
          <w:lang w:val="ro-RO"/>
        </w:rPr>
      </w:pPr>
      <w:r w:rsidRPr="00C31FFF">
        <w:rPr>
          <w:rFonts w:ascii="Arial" w:hAnsi="Arial" w:cs="Arial"/>
          <w:noProof/>
          <w:color w:val="000000" w:themeColor="text1"/>
          <w:sz w:val="20"/>
          <w:lang w:val="ro-RO"/>
        </w:rPr>
        <w:drawing>
          <wp:inline distT="0" distB="0" distL="0" distR="0" wp14:anchorId="2F563E73" wp14:editId="5C56C3F0">
            <wp:extent cx="1439134" cy="489203"/>
            <wp:effectExtent l="0" t="0" r="0" b="0"/>
            <wp:docPr id="1" name="image1.png" descr="A yellow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yellow and black background&#10;&#10;AI-generated content may be incorrect."/>
                    <pic:cNvPicPr/>
                  </pic:nvPicPr>
                  <pic:blipFill>
                    <a:blip r:embed="rId8" cstate="print"/>
                    <a:stretch>
                      <a:fillRect/>
                    </a:stretch>
                  </pic:blipFill>
                  <pic:spPr>
                    <a:xfrm>
                      <a:off x="0" y="0"/>
                      <a:ext cx="1439134" cy="489203"/>
                    </a:xfrm>
                    <a:prstGeom prst="rect">
                      <a:avLst/>
                    </a:prstGeom>
                  </pic:spPr>
                </pic:pic>
              </a:graphicData>
            </a:graphic>
          </wp:inline>
        </w:drawing>
      </w:r>
    </w:p>
    <w:p w14:paraId="199B8BBC" w14:textId="77777777" w:rsidR="00717DF0" w:rsidRPr="00C31FFF" w:rsidRDefault="00717DF0" w:rsidP="00C31FFF">
      <w:pPr>
        <w:pStyle w:val="BodyText"/>
        <w:spacing w:line="276" w:lineRule="auto"/>
        <w:jc w:val="both"/>
        <w:rPr>
          <w:rFonts w:ascii="Arial" w:hAnsi="Arial" w:cs="Arial"/>
          <w:color w:val="000000" w:themeColor="text1"/>
          <w:sz w:val="2"/>
          <w:lang w:val="ro-RO"/>
        </w:rPr>
      </w:pPr>
    </w:p>
    <w:p w14:paraId="7F4C7386" w14:textId="77777777" w:rsidR="00717DF0" w:rsidRPr="00C31FFF" w:rsidRDefault="00717DF0" w:rsidP="00C31FFF">
      <w:pPr>
        <w:pStyle w:val="BodyText"/>
        <w:spacing w:line="276" w:lineRule="auto"/>
        <w:jc w:val="both"/>
        <w:rPr>
          <w:rFonts w:ascii="Arial" w:hAnsi="Arial" w:cs="Arial"/>
          <w:color w:val="000000" w:themeColor="text1"/>
          <w:sz w:val="2"/>
          <w:lang w:val="ro-RO"/>
        </w:rPr>
      </w:pPr>
    </w:p>
    <w:p w14:paraId="32F8DFC8" w14:textId="77777777" w:rsidR="00717DF0" w:rsidRPr="00C31FFF" w:rsidRDefault="00717DF0" w:rsidP="00C31FFF">
      <w:pPr>
        <w:pStyle w:val="BodyText"/>
        <w:spacing w:line="276" w:lineRule="auto"/>
        <w:jc w:val="both"/>
        <w:rPr>
          <w:rFonts w:ascii="Arial" w:hAnsi="Arial" w:cs="Arial"/>
          <w:color w:val="000000" w:themeColor="text1"/>
          <w:sz w:val="2"/>
          <w:lang w:val="ro-RO"/>
        </w:rPr>
      </w:pPr>
    </w:p>
    <w:p w14:paraId="10ADB820" w14:textId="77777777" w:rsidR="00717DF0" w:rsidRPr="00C31FFF" w:rsidRDefault="00717DF0" w:rsidP="00C31FFF">
      <w:pPr>
        <w:pStyle w:val="BodyText"/>
        <w:spacing w:before="7" w:line="276" w:lineRule="auto"/>
        <w:jc w:val="both"/>
        <w:rPr>
          <w:rFonts w:ascii="Arial" w:hAnsi="Arial" w:cs="Arial"/>
          <w:color w:val="000000" w:themeColor="text1"/>
          <w:sz w:val="2"/>
          <w:lang w:val="ro-RO"/>
        </w:rPr>
      </w:pPr>
    </w:p>
    <w:p w14:paraId="737D6D80" w14:textId="77777777" w:rsidR="00717DF0" w:rsidRPr="00C31FFF" w:rsidRDefault="00717DF0" w:rsidP="00C31FFF">
      <w:pPr>
        <w:ind w:left="232"/>
        <w:jc w:val="both"/>
        <w:rPr>
          <w:rFonts w:ascii="Arial" w:hAnsi="Arial" w:cs="Arial"/>
          <w:color w:val="000000" w:themeColor="text1"/>
          <w:sz w:val="2"/>
          <w:lang w:val="ro-RO"/>
        </w:rPr>
      </w:pPr>
      <w:r w:rsidRPr="00C31FFF">
        <w:rPr>
          <w:rFonts w:ascii="Arial" w:hAnsi="Arial" w:cs="Arial"/>
          <w:color w:val="000000" w:themeColor="text1"/>
          <w:w w:val="95"/>
          <w:sz w:val="2"/>
          <w:lang w:val="ro-RO"/>
        </w:rPr>
        <w:t>R</w:t>
      </w:r>
    </w:p>
    <w:p w14:paraId="2DDECB73" w14:textId="77777777" w:rsidR="00717DF0" w:rsidRPr="00C31FFF" w:rsidRDefault="00717DF0" w:rsidP="00C31FFF">
      <w:pPr>
        <w:pStyle w:val="BodyText"/>
        <w:spacing w:line="276" w:lineRule="auto"/>
        <w:jc w:val="both"/>
        <w:rPr>
          <w:rFonts w:ascii="Arial" w:hAnsi="Arial" w:cs="Arial"/>
          <w:color w:val="000000" w:themeColor="text1"/>
          <w:sz w:val="2"/>
          <w:lang w:val="ro-RO"/>
        </w:rPr>
      </w:pPr>
    </w:p>
    <w:p w14:paraId="572FCFAC" w14:textId="77777777" w:rsidR="00717DF0" w:rsidRPr="00C31FFF" w:rsidRDefault="00717DF0" w:rsidP="00C31FFF">
      <w:pPr>
        <w:pStyle w:val="BodyText"/>
        <w:spacing w:line="276" w:lineRule="auto"/>
        <w:jc w:val="both"/>
        <w:rPr>
          <w:rFonts w:ascii="Arial" w:hAnsi="Arial" w:cs="Arial"/>
          <w:color w:val="000000" w:themeColor="text1"/>
          <w:sz w:val="2"/>
          <w:lang w:val="ro-RO"/>
        </w:rPr>
      </w:pPr>
    </w:p>
    <w:p w14:paraId="603ECB9B" w14:textId="77777777" w:rsidR="00717DF0" w:rsidRPr="00C31FFF" w:rsidRDefault="00717DF0" w:rsidP="00C31FFF">
      <w:pPr>
        <w:pStyle w:val="BodyText"/>
        <w:spacing w:line="276" w:lineRule="auto"/>
        <w:jc w:val="both"/>
        <w:rPr>
          <w:rFonts w:ascii="Arial" w:hAnsi="Arial" w:cs="Arial"/>
          <w:color w:val="000000" w:themeColor="text1"/>
          <w:sz w:val="2"/>
          <w:lang w:val="ro-RO"/>
        </w:rPr>
      </w:pPr>
    </w:p>
    <w:p w14:paraId="6415D625" w14:textId="77777777" w:rsidR="00717DF0" w:rsidRPr="00C31FFF" w:rsidRDefault="00717DF0" w:rsidP="00C31FFF">
      <w:pPr>
        <w:pStyle w:val="BodyText"/>
        <w:spacing w:line="276" w:lineRule="auto"/>
        <w:jc w:val="both"/>
        <w:rPr>
          <w:rFonts w:ascii="Arial" w:hAnsi="Arial" w:cs="Arial"/>
          <w:color w:val="000000" w:themeColor="text1"/>
          <w:sz w:val="2"/>
          <w:lang w:val="ro-RO"/>
        </w:rPr>
      </w:pPr>
    </w:p>
    <w:p w14:paraId="34C5254E" w14:textId="77777777" w:rsidR="00717DF0" w:rsidRPr="00C31FFF" w:rsidRDefault="00717DF0" w:rsidP="00C31FFF">
      <w:pPr>
        <w:pStyle w:val="BodyText"/>
        <w:spacing w:before="3" w:line="276" w:lineRule="auto"/>
        <w:jc w:val="both"/>
        <w:rPr>
          <w:rFonts w:ascii="Arial" w:hAnsi="Arial" w:cs="Arial"/>
          <w:color w:val="000000" w:themeColor="text1"/>
          <w:sz w:val="2"/>
          <w:lang w:val="ro-RO"/>
        </w:rPr>
      </w:pPr>
    </w:p>
    <w:p w14:paraId="0A34EF57" w14:textId="77777777" w:rsidR="00717DF0" w:rsidRPr="002615AF" w:rsidRDefault="00717DF0" w:rsidP="00C31FFF">
      <w:pPr>
        <w:pStyle w:val="BodyText"/>
        <w:spacing w:line="276" w:lineRule="auto"/>
        <w:ind w:right="674"/>
        <w:jc w:val="right"/>
        <w:rPr>
          <w:rFonts w:ascii="Arial" w:eastAsiaTheme="minorEastAsia" w:hAnsi="Arial" w:cs="Arial"/>
          <w:color w:val="000000" w:themeColor="text1"/>
          <w:lang w:val="ro-RO"/>
        </w:rPr>
      </w:pPr>
      <w:r w:rsidRPr="002615AF">
        <w:rPr>
          <w:rFonts w:ascii="Arial" w:eastAsiaTheme="minorEastAsia" w:hAnsi="Arial" w:cs="Arial"/>
          <w:color w:val="000000" w:themeColor="text1"/>
          <w:lang w:val="ro-RO"/>
        </w:rPr>
        <w:t>Geneva, 13 martie 2026</w:t>
      </w:r>
    </w:p>
    <w:p w14:paraId="2BCE9374" w14:textId="77777777" w:rsidR="00717DF0" w:rsidRPr="00C31FFF" w:rsidRDefault="00717DF0" w:rsidP="00C31FFF">
      <w:pPr>
        <w:pStyle w:val="BodyText"/>
        <w:spacing w:line="276" w:lineRule="auto"/>
        <w:jc w:val="both"/>
        <w:rPr>
          <w:rFonts w:ascii="Arial" w:hAnsi="Arial" w:cs="Arial"/>
          <w:color w:val="000000" w:themeColor="text1"/>
          <w:sz w:val="20"/>
          <w:lang w:val="ro-RO"/>
        </w:rPr>
      </w:pPr>
    </w:p>
    <w:p w14:paraId="22E37CAB" w14:textId="77777777" w:rsidR="00717DF0" w:rsidRPr="00C31FFF" w:rsidRDefault="00717DF0" w:rsidP="00C31FFF">
      <w:pPr>
        <w:spacing w:after="0"/>
        <w:jc w:val="both"/>
        <w:rPr>
          <w:rFonts w:ascii="Arial" w:hAnsi="Arial" w:cs="Arial"/>
          <w:color w:val="000000" w:themeColor="text1"/>
          <w:lang w:val="ro-RO"/>
        </w:rPr>
      </w:pPr>
    </w:p>
    <w:p w14:paraId="4BC66C88" w14:textId="42BE49DC" w:rsidR="00717DF0" w:rsidRPr="002615AF" w:rsidRDefault="00717DF0" w:rsidP="00C31FFF">
      <w:pPr>
        <w:spacing w:after="0"/>
        <w:jc w:val="both"/>
        <w:rPr>
          <w:rFonts w:ascii="Arial" w:hAnsi="Arial" w:cs="Arial"/>
          <w:b/>
          <w:bCs/>
          <w:color w:val="000000" w:themeColor="text1"/>
          <w:sz w:val="24"/>
          <w:szCs w:val="24"/>
          <w:lang w:val="ro-RO"/>
        </w:rPr>
      </w:pPr>
      <w:r w:rsidRPr="002615AF">
        <w:rPr>
          <w:rFonts w:ascii="Arial" w:hAnsi="Arial" w:cs="Arial"/>
          <w:b/>
          <w:bCs/>
          <w:color w:val="000000" w:themeColor="text1"/>
          <w:sz w:val="24"/>
          <w:szCs w:val="24"/>
          <w:lang w:val="ro-RO"/>
        </w:rPr>
        <w:t>Subiect: Scrisoare privind alocarea pentru anii 202</w:t>
      </w:r>
      <w:r w:rsidR="00F47A89">
        <w:rPr>
          <w:rFonts w:ascii="Arial" w:hAnsi="Arial" w:cs="Arial"/>
          <w:b/>
          <w:bCs/>
          <w:color w:val="000000" w:themeColor="text1"/>
          <w:sz w:val="24"/>
          <w:szCs w:val="24"/>
          <w:lang w:val="ro-RO"/>
        </w:rPr>
        <w:t>6</w:t>
      </w:r>
      <w:r w:rsidRPr="002615AF">
        <w:rPr>
          <w:rFonts w:ascii="Arial" w:hAnsi="Arial" w:cs="Arial"/>
          <w:b/>
          <w:bCs/>
          <w:color w:val="000000" w:themeColor="text1"/>
          <w:sz w:val="24"/>
          <w:szCs w:val="24"/>
          <w:lang w:val="ro-RO"/>
        </w:rPr>
        <w:t>-202</w:t>
      </w:r>
      <w:r w:rsidR="00F47A89">
        <w:rPr>
          <w:rFonts w:ascii="Arial" w:hAnsi="Arial" w:cs="Arial"/>
          <w:b/>
          <w:bCs/>
          <w:color w:val="000000" w:themeColor="text1"/>
          <w:sz w:val="24"/>
          <w:szCs w:val="24"/>
          <w:lang w:val="ro-RO"/>
        </w:rPr>
        <w:t>8</w:t>
      </w:r>
      <w:r w:rsidR="00AE44A3" w:rsidRPr="002615AF">
        <w:rPr>
          <w:rStyle w:val="FootnoteReference"/>
          <w:rFonts w:ascii="Arial" w:hAnsi="Arial" w:cs="Arial"/>
          <w:b/>
          <w:bCs/>
          <w:color w:val="000000" w:themeColor="text1"/>
          <w:sz w:val="24"/>
          <w:szCs w:val="24"/>
          <w:lang w:val="ro-RO"/>
        </w:rPr>
        <w:footnoteReference w:id="1"/>
      </w:r>
    </w:p>
    <w:p w14:paraId="6B1FADFE" w14:textId="77777777" w:rsidR="00717DF0" w:rsidRPr="00C31FFF" w:rsidRDefault="00717DF0" w:rsidP="00C31FFF">
      <w:pPr>
        <w:spacing w:after="0"/>
        <w:jc w:val="both"/>
        <w:rPr>
          <w:rFonts w:ascii="Arial" w:hAnsi="Arial" w:cs="Arial"/>
          <w:color w:val="000000" w:themeColor="text1"/>
          <w:lang w:val="ro-RO"/>
        </w:rPr>
      </w:pPr>
    </w:p>
    <w:p w14:paraId="3333D45D" w14:textId="77777777"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 xml:space="preserve">Excelența Voastră, Domnule Ministru </w:t>
      </w:r>
      <w:proofErr w:type="spellStart"/>
      <w:r w:rsidRPr="00C31FFF">
        <w:rPr>
          <w:rFonts w:ascii="Arial" w:hAnsi="Arial" w:cs="Arial"/>
          <w:color w:val="000000" w:themeColor="text1"/>
          <w:lang w:val="ro-RO"/>
        </w:rPr>
        <w:t>Ceban</w:t>
      </w:r>
      <w:proofErr w:type="spellEnd"/>
      <w:r w:rsidRPr="00C31FFF">
        <w:rPr>
          <w:rFonts w:ascii="Arial" w:hAnsi="Arial" w:cs="Arial"/>
          <w:color w:val="000000" w:themeColor="text1"/>
          <w:lang w:val="ro-RO"/>
        </w:rPr>
        <w:t>,</w:t>
      </w:r>
    </w:p>
    <w:p w14:paraId="6666C096" w14:textId="77777777" w:rsidR="00717DF0" w:rsidRPr="00C31FFF" w:rsidRDefault="00717DF0" w:rsidP="00C31FFF">
      <w:pPr>
        <w:spacing w:after="0"/>
        <w:jc w:val="both"/>
        <w:rPr>
          <w:rFonts w:ascii="Arial" w:hAnsi="Arial" w:cs="Arial"/>
          <w:color w:val="000000" w:themeColor="text1"/>
          <w:lang w:val="ro-RO"/>
        </w:rPr>
      </w:pPr>
    </w:p>
    <w:p w14:paraId="0EF71B4E" w14:textId="77777777"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Împreună, parteneriatul Fondului Global a realizat progrese remarcabile în lupta împotriva HIV, tuberculozei (TB) și malariei în ultimele două decenii. În prezent, în contextul unor constrângeri semnificative ale finanțării externe pentru sănătate și al unui ecosistem global al sănătății în rapidă evoluție, trebuie să ne adaptăm și să ne intensificăm eforturile pentru a obține rezultate durabile în domeniul sănătății în acest nou context.</w:t>
      </w:r>
    </w:p>
    <w:p w14:paraId="38DF2686" w14:textId="77777777" w:rsidR="00717DF0" w:rsidRPr="00C31FFF" w:rsidRDefault="00717DF0" w:rsidP="00C31FFF">
      <w:pPr>
        <w:spacing w:after="0"/>
        <w:jc w:val="both"/>
        <w:rPr>
          <w:rFonts w:ascii="Arial" w:hAnsi="Arial" w:cs="Arial"/>
          <w:color w:val="000000" w:themeColor="text1"/>
          <w:lang w:val="ro-RO"/>
        </w:rPr>
      </w:pPr>
    </w:p>
    <w:p w14:paraId="63D5BC71" w14:textId="358C9CD8"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Pentru perioada de alocare 2026–2028 (Ciclul de granturi 8 – GC8), Fondul Global introduce un set de schimbări strategice</w:t>
      </w:r>
      <w:r w:rsidR="00AE44A3">
        <w:rPr>
          <w:rStyle w:val="FootnoteReference"/>
          <w:rFonts w:ascii="Arial" w:hAnsi="Arial" w:cs="Arial"/>
          <w:color w:val="000000" w:themeColor="text1"/>
          <w:lang w:val="ro-RO"/>
        </w:rPr>
        <w:footnoteReference w:id="2"/>
      </w:r>
      <w:r w:rsidRPr="00C31FFF">
        <w:rPr>
          <w:rFonts w:ascii="Arial" w:hAnsi="Arial" w:cs="Arial"/>
          <w:color w:val="000000" w:themeColor="text1"/>
          <w:lang w:val="ro-RO"/>
        </w:rPr>
        <w:t>, bazate pe Strategia Fondului Global 2023–2028</w:t>
      </w:r>
      <w:r w:rsidR="00AE44A3">
        <w:rPr>
          <w:rStyle w:val="FootnoteReference"/>
          <w:rFonts w:ascii="Arial" w:hAnsi="Arial" w:cs="Arial"/>
          <w:color w:val="000000" w:themeColor="text1"/>
          <w:lang w:val="ro-RO"/>
        </w:rPr>
        <w:footnoteReference w:id="3"/>
      </w:r>
      <w:r w:rsidRPr="00C31FFF">
        <w:rPr>
          <w:rFonts w:ascii="Arial" w:hAnsi="Arial" w:cs="Arial"/>
          <w:color w:val="000000" w:themeColor="text1"/>
          <w:lang w:val="ro-RO"/>
        </w:rPr>
        <w:t>, pentru a accelera parcursul către autosuficiență, a clarifica prioritățile de investiții, a consolida eficiența utilizării resurselor și a facilita accesul la inovații.</w:t>
      </w:r>
    </w:p>
    <w:p w14:paraId="05C1933F" w14:textId="77777777" w:rsidR="00717DF0" w:rsidRPr="00C31FFF" w:rsidRDefault="00717DF0" w:rsidP="00C31FFF">
      <w:pPr>
        <w:spacing w:after="0"/>
        <w:jc w:val="both"/>
        <w:rPr>
          <w:rFonts w:ascii="Arial" w:hAnsi="Arial" w:cs="Arial"/>
          <w:color w:val="000000" w:themeColor="text1"/>
          <w:lang w:val="ro-RO"/>
        </w:rPr>
      </w:pPr>
    </w:p>
    <w:p w14:paraId="56C85868" w14:textId="6F65AFC0" w:rsidR="00717DF0" w:rsidRPr="00C31FFF" w:rsidRDefault="00717DF0" w:rsidP="00C31FFF">
      <w:pPr>
        <w:shd w:val="clear" w:color="auto" w:fill="D1D1D1" w:themeFill="background2" w:themeFillShade="E6"/>
        <w:spacing w:after="0"/>
        <w:jc w:val="both"/>
        <w:rPr>
          <w:rFonts w:ascii="Arial" w:hAnsi="Arial" w:cs="Arial"/>
          <w:b/>
          <w:bCs/>
          <w:color w:val="000000" w:themeColor="text1"/>
          <w:lang w:val="ro-RO"/>
        </w:rPr>
      </w:pPr>
      <w:r w:rsidRPr="00C31FFF">
        <w:rPr>
          <w:rFonts w:ascii="Arial" w:hAnsi="Arial" w:cs="Arial"/>
          <w:b/>
          <w:bCs/>
          <w:color w:val="000000" w:themeColor="text1"/>
          <w:lang w:val="ro-RO"/>
        </w:rPr>
        <w:t>Alocarea pentru Moldova</w:t>
      </w:r>
    </w:p>
    <w:p w14:paraId="5EF481FE" w14:textId="77777777" w:rsidR="00717DF0" w:rsidRPr="00C31FFF" w:rsidRDefault="00717DF0" w:rsidP="00C31FFF">
      <w:pPr>
        <w:spacing w:after="0"/>
        <w:jc w:val="both"/>
        <w:rPr>
          <w:rFonts w:ascii="Arial" w:hAnsi="Arial" w:cs="Arial"/>
          <w:color w:val="000000" w:themeColor="text1"/>
          <w:lang w:val="ro-RO"/>
        </w:rPr>
      </w:pPr>
    </w:p>
    <w:p w14:paraId="652BE2E9" w14:textId="77777777"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 xml:space="preserve">Pentru GC8, </w:t>
      </w:r>
      <w:r w:rsidRPr="00C31FFF">
        <w:rPr>
          <w:rFonts w:ascii="Arial" w:hAnsi="Arial" w:cs="Arial"/>
          <w:b/>
          <w:bCs/>
          <w:color w:val="000000" w:themeColor="text1"/>
          <w:lang w:val="ro-RO"/>
        </w:rPr>
        <w:t xml:space="preserve">Republicii Moldova i-au fost alocate până la 10.007.968 € pentru HIV, tuberculoză și consolidarea sistemelor de sănătate </w:t>
      </w:r>
      <w:proofErr w:type="spellStart"/>
      <w:r w:rsidRPr="00C31FFF">
        <w:rPr>
          <w:rFonts w:ascii="Arial" w:hAnsi="Arial" w:cs="Arial"/>
          <w:b/>
          <w:bCs/>
          <w:color w:val="000000" w:themeColor="text1"/>
          <w:lang w:val="ro-RO"/>
        </w:rPr>
        <w:t>reziliente</w:t>
      </w:r>
      <w:proofErr w:type="spellEnd"/>
      <w:r w:rsidRPr="00C31FFF">
        <w:rPr>
          <w:rFonts w:ascii="Arial" w:hAnsi="Arial" w:cs="Arial"/>
          <w:b/>
          <w:bCs/>
          <w:color w:val="000000" w:themeColor="text1"/>
          <w:lang w:val="ro-RO"/>
        </w:rPr>
        <w:t xml:space="preserve"> și sustenabile (RSSH).</w:t>
      </w:r>
      <w:r w:rsidRPr="00C31FFF">
        <w:rPr>
          <w:rFonts w:ascii="Arial" w:hAnsi="Arial" w:cs="Arial"/>
          <w:color w:val="000000" w:themeColor="text1"/>
          <w:lang w:val="ro-RO"/>
        </w:rPr>
        <w:t xml:space="preserve"> Această alocare a fost determinată conform unei metodologii bazate în principal pe povara bolilor și nivelul de venit al țării.</w:t>
      </w:r>
    </w:p>
    <w:p w14:paraId="2038706A" w14:textId="77777777" w:rsidR="00717DF0" w:rsidRPr="00C31FFF" w:rsidRDefault="00717DF0" w:rsidP="00C31FFF">
      <w:pPr>
        <w:spacing w:after="0"/>
        <w:jc w:val="both"/>
        <w:rPr>
          <w:rFonts w:ascii="Arial" w:hAnsi="Arial" w:cs="Arial"/>
          <w:color w:val="000000" w:themeColor="text1"/>
          <w:lang w:val="ro-RO"/>
        </w:rPr>
      </w:pPr>
    </w:p>
    <w:p w14:paraId="4FEF2A86" w14:textId="77777777" w:rsidR="00717DF0" w:rsidRPr="00C31FFF" w:rsidRDefault="00717DF0" w:rsidP="00C31FFF">
      <w:pPr>
        <w:pStyle w:val="Heading2"/>
        <w:spacing w:before="0"/>
        <w:jc w:val="both"/>
        <w:rPr>
          <w:rFonts w:ascii="Arial" w:eastAsiaTheme="minorEastAsia" w:hAnsi="Arial" w:cs="Arial"/>
          <w:b/>
          <w:bCs/>
          <w:color w:val="000000" w:themeColor="text1"/>
          <w:sz w:val="22"/>
          <w:szCs w:val="22"/>
          <w:lang w:val="ro-RO"/>
        </w:rPr>
      </w:pPr>
      <w:r w:rsidRPr="00C31FFF">
        <w:rPr>
          <w:rFonts w:ascii="Arial" w:eastAsiaTheme="minorEastAsia" w:hAnsi="Arial" w:cs="Arial"/>
          <w:b/>
          <w:bCs/>
          <w:color w:val="000000" w:themeColor="text1"/>
          <w:sz w:val="22"/>
          <w:szCs w:val="22"/>
          <w:lang w:val="ro-RO"/>
        </w:rPr>
        <w:t>Tabelul 1: Rezumatul alocării</w:t>
      </w:r>
    </w:p>
    <w:p w14:paraId="253F2E1F" w14:textId="77777777" w:rsidR="00717DF0" w:rsidRPr="00C31FFF" w:rsidRDefault="00717DF0" w:rsidP="00C31FFF">
      <w:pPr>
        <w:pStyle w:val="BodyText"/>
        <w:spacing w:before="6" w:line="276" w:lineRule="auto"/>
        <w:rPr>
          <w:rFonts w:ascii="Arial" w:hAnsi="Arial" w:cs="Arial"/>
          <w:b/>
          <w:color w:val="000000" w:themeColor="text1"/>
          <w:sz w:val="5"/>
          <w:lang w:val="ro-RO"/>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694"/>
        <w:gridCol w:w="4110"/>
      </w:tblGrid>
      <w:tr w:rsidR="00C31FFF" w:rsidRPr="00C31FFF" w14:paraId="731B2F20" w14:textId="77777777" w:rsidTr="00717DF0">
        <w:trPr>
          <w:trHeight w:val="580"/>
        </w:trPr>
        <w:tc>
          <w:tcPr>
            <w:tcW w:w="3119" w:type="dxa"/>
          </w:tcPr>
          <w:p w14:paraId="3EB199CC" w14:textId="1DFCFF85" w:rsidR="00717DF0" w:rsidRPr="00C31FFF" w:rsidRDefault="00717DF0" w:rsidP="00C31FFF">
            <w:pPr>
              <w:pStyle w:val="TableParagraph"/>
              <w:spacing w:line="276" w:lineRule="auto"/>
              <w:ind w:left="692" w:right="683"/>
              <w:rPr>
                <w:b/>
                <w:color w:val="000000" w:themeColor="text1"/>
                <w:lang w:val="ro-RO"/>
              </w:rPr>
            </w:pPr>
            <w:r w:rsidRPr="00C31FFF">
              <w:rPr>
                <w:b/>
                <w:color w:val="000000" w:themeColor="text1"/>
                <w:sz w:val="20"/>
                <w:szCs w:val="20"/>
                <w:lang w:val="ro-RO"/>
              </w:rPr>
              <w:t>Componenta eligibil</w:t>
            </w:r>
            <w:r w:rsidR="00F47A89">
              <w:rPr>
                <w:b/>
                <w:color w:val="000000" w:themeColor="text1"/>
                <w:sz w:val="20"/>
                <w:szCs w:val="20"/>
                <w:lang w:val="ro-RO"/>
              </w:rPr>
              <w:t>ă de boală</w:t>
            </w:r>
          </w:p>
        </w:tc>
        <w:tc>
          <w:tcPr>
            <w:tcW w:w="2694" w:type="dxa"/>
          </w:tcPr>
          <w:p w14:paraId="3E660FB6" w14:textId="77777777" w:rsidR="00717DF0" w:rsidRPr="00C31FFF" w:rsidRDefault="00717DF0" w:rsidP="00C31FFF">
            <w:pPr>
              <w:pStyle w:val="TableParagraph"/>
              <w:spacing w:before="139" w:line="276" w:lineRule="auto"/>
              <w:ind w:right="606"/>
              <w:rPr>
                <w:b/>
                <w:color w:val="000000" w:themeColor="text1"/>
                <w:lang w:val="ro-RO"/>
              </w:rPr>
            </w:pPr>
            <w:r w:rsidRPr="00C31FFF">
              <w:rPr>
                <w:b/>
                <w:color w:val="000000" w:themeColor="text1"/>
                <w:lang w:val="ro-RO"/>
              </w:rPr>
              <w:t>Alocarea (€)</w:t>
            </w:r>
          </w:p>
        </w:tc>
        <w:tc>
          <w:tcPr>
            <w:tcW w:w="4110" w:type="dxa"/>
          </w:tcPr>
          <w:p w14:paraId="6C758278" w14:textId="77777777" w:rsidR="00717DF0" w:rsidRPr="00C31FFF" w:rsidRDefault="00717DF0" w:rsidP="00C31FFF">
            <w:pPr>
              <w:pStyle w:val="TableParagraph"/>
              <w:spacing w:before="139" w:line="276" w:lineRule="auto"/>
              <w:ind w:left="151"/>
              <w:rPr>
                <w:b/>
                <w:color w:val="000000" w:themeColor="text1"/>
                <w:lang w:val="ro-RO"/>
              </w:rPr>
            </w:pPr>
            <w:r w:rsidRPr="00C31FFF">
              <w:rPr>
                <w:b/>
                <w:color w:val="000000" w:themeColor="text1"/>
                <w:lang w:val="ro-RO"/>
              </w:rPr>
              <w:t>Perioada de utilizare a alocării</w:t>
            </w:r>
          </w:p>
        </w:tc>
      </w:tr>
      <w:tr w:rsidR="00C31FFF" w:rsidRPr="00C31FFF" w14:paraId="6C0EB82A" w14:textId="77777777" w:rsidTr="00717DF0">
        <w:trPr>
          <w:trHeight w:val="293"/>
        </w:trPr>
        <w:tc>
          <w:tcPr>
            <w:tcW w:w="3119" w:type="dxa"/>
          </w:tcPr>
          <w:p w14:paraId="74EBD04A" w14:textId="77777777" w:rsidR="00717DF0" w:rsidRPr="00C31FFF" w:rsidRDefault="00717DF0" w:rsidP="00C31FFF">
            <w:pPr>
              <w:pStyle w:val="TableParagraph"/>
              <w:spacing w:line="276" w:lineRule="auto"/>
              <w:ind w:left="692" w:right="682"/>
              <w:rPr>
                <w:color w:val="000000" w:themeColor="text1"/>
                <w:lang w:val="ro-RO"/>
              </w:rPr>
            </w:pPr>
            <w:r w:rsidRPr="00C31FFF">
              <w:rPr>
                <w:color w:val="000000" w:themeColor="text1"/>
                <w:lang w:val="ro-RO"/>
              </w:rPr>
              <w:t>HIV</w:t>
            </w:r>
          </w:p>
        </w:tc>
        <w:tc>
          <w:tcPr>
            <w:tcW w:w="2694" w:type="dxa"/>
          </w:tcPr>
          <w:p w14:paraId="15A295DB" w14:textId="02E0AAF1" w:rsidR="00717DF0" w:rsidRPr="00F47A89" w:rsidRDefault="00F47A89" w:rsidP="00C31FFF">
            <w:pPr>
              <w:pStyle w:val="TableParagraph"/>
              <w:spacing w:line="276" w:lineRule="auto"/>
              <w:ind w:right="605"/>
              <w:rPr>
                <w:b/>
                <w:color w:val="000000" w:themeColor="text1"/>
                <w:lang w:val="ro-RO"/>
              </w:rPr>
            </w:pPr>
            <w:r w:rsidRPr="00F47A89">
              <w:rPr>
                <w:rStyle w:val="Strong"/>
                <w:color w:val="000000" w:themeColor="text1"/>
              </w:rPr>
              <w:t>5,502,590</w:t>
            </w:r>
          </w:p>
        </w:tc>
        <w:tc>
          <w:tcPr>
            <w:tcW w:w="4110" w:type="dxa"/>
          </w:tcPr>
          <w:p w14:paraId="195BA67D" w14:textId="310AA783" w:rsidR="00717DF0" w:rsidRPr="00C31FFF" w:rsidRDefault="00717DF0" w:rsidP="00C31FFF">
            <w:pPr>
              <w:pStyle w:val="TableParagraph"/>
              <w:spacing w:line="276" w:lineRule="auto"/>
              <w:ind w:left="152"/>
              <w:rPr>
                <w:color w:val="000000" w:themeColor="text1"/>
                <w:lang w:val="ro-RO"/>
              </w:rPr>
            </w:pPr>
            <w:r w:rsidRPr="00C31FFF">
              <w:rPr>
                <w:color w:val="000000" w:themeColor="text1"/>
                <w:lang w:val="ro-RO"/>
              </w:rPr>
              <w:t>1 ianuarie 202</w:t>
            </w:r>
            <w:r w:rsidR="00F47A89">
              <w:rPr>
                <w:color w:val="000000" w:themeColor="text1"/>
                <w:lang w:val="ro-RO"/>
              </w:rPr>
              <w:t>7</w:t>
            </w:r>
            <w:r w:rsidRPr="00C31FFF">
              <w:rPr>
                <w:color w:val="000000" w:themeColor="text1"/>
                <w:lang w:val="ro-RO"/>
              </w:rPr>
              <w:t xml:space="preserve"> - 31 decembrie 20</w:t>
            </w:r>
            <w:r w:rsidR="00F47A89">
              <w:rPr>
                <w:color w:val="000000" w:themeColor="text1"/>
                <w:lang w:val="ro-RO"/>
              </w:rPr>
              <w:t>29</w:t>
            </w:r>
          </w:p>
        </w:tc>
      </w:tr>
      <w:tr w:rsidR="00C31FFF" w:rsidRPr="00C31FFF" w14:paraId="68ED42AA" w14:textId="77777777" w:rsidTr="00717DF0">
        <w:trPr>
          <w:trHeight w:val="290"/>
        </w:trPr>
        <w:tc>
          <w:tcPr>
            <w:tcW w:w="3119" w:type="dxa"/>
          </w:tcPr>
          <w:p w14:paraId="0BBC0A4A" w14:textId="77777777" w:rsidR="00717DF0" w:rsidRPr="00C31FFF" w:rsidRDefault="00717DF0" w:rsidP="00C31FFF">
            <w:pPr>
              <w:pStyle w:val="TableParagraph"/>
              <w:spacing w:line="276" w:lineRule="auto"/>
              <w:ind w:left="912" w:right="0"/>
              <w:jc w:val="left"/>
              <w:rPr>
                <w:color w:val="000000" w:themeColor="text1"/>
                <w:lang w:val="ro-RO"/>
              </w:rPr>
            </w:pPr>
            <w:r w:rsidRPr="00C31FFF">
              <w:rPr>
                <w:color w:val="000000" w:themeColor="text1"/>
                <w:lang w:val="ro-RO"/>
              </w:rPr>
              <w:t>Tuberculoza</w:t>
            </w:r>
          </w:p>
        </w:tc>
        <w:tc>
          <w:tcPr>
            <w:tcW w:w="2694" w:type="dxa"/>
          </w:tcPr>
          <w:p w14:paraId="47E36311" w14:textId="2776F9E1" w:rsidR="00717DF0" w:rsidRPr="00F47A89" w:rsidRDefault="00F47A89" w:rsidP="00C31FFF">
            <w:pPr>
              <w:pStyle w:val="TableParagraph"/>
              <w:spacing w:line="276" w:lineRule="auto"/>
              <w:ind w:right="602"/>
              <w:rPr>
                <w:b/>
                <w:color w:val="000000" w:themeColor="text1"/>
                <w:lang w:val="ro-RO"/>
              </w:rPr>
            </w:pPr>
            <w:r w:rsidRPr="00F47A89">
              <w:rPr>
                <w:rStyle w:val="Strong"/>
                <w:color w:val="000000" w:themeColor="text1"/>
              </w:rPr>
              <w:t>4,505,378</w:t>
            </w:r>
          </w:p>
        </w:tc>
        <w:tc>
          <w:tcPr>
            <w:tcW w:w="4110" w:type="dxa"/>
          </w:tcPr>
          <w:p w14:paraId="795C6720" w14:textId="4DDEEE93" w:rsidR="00717DF0" w:rsidRPr="00C31FFF" w:rsidRDefault="00717DF0" w:rsidP="00C31FFF">
            <w:pPr>
              <w:pStyle w:val="TableParagraph"/>
              <w:spacing w:line="276" w:lineRule="auto"/>
              <w:ind w:left="152"/>
              <w:rPr>
                <w:color w:val="000000" w:themeColor="text1"/>
                <w:lang w:val="ro-RO"/>
              </w:rPr>
            </w:pPr>
            <w:r w:rsidRPr="00C31FFF">
              <w:rPr>
                <w:color w:val="000000" w:themeColor="text1"/>
                <w:lang w:val="ro-RO"/>
              </w:rPr>
              <w:t>1 ianuarie 202</w:t>
            </w:r>
            <w:r w:rsidR="00F47A89">
              <w:rPr>
                <w:color w:val="000000" w:themeColor="text1"/>
                <w:lang w:val="ro-RO"/>
              </w:rPr>
              <w:t>7</w:t>
            </w:r>
            <w:r w:rsidRPr="00C31FFF">
              <w:rPr>
                <w:color w:val="000000" w:themeColor="text1"/>
                <w:lang w:val="ro-RO"/>
              </w:rPr>
              <w:t xml:space="preserve"> - 31 decembrie 202</w:t>
            </w:r>
            <w:r w:rsidR="00F47A89">
              <w:rPr>
                <w:color w:val="000000" w:themeColor="text1"/>
                <w:lang w:val="ro-RO"/>
              </w:rPr>
              <w:t>9</w:t>
            </w:r>
          </w:p>
        </w:tc>
      </w:tr>
      <w:tr w:rsidR="00C31FFF" w:rsidRPr="00C31FFF" w14:paraId="7A1E9A5A" w14:textId="77777777" w:rsidTr="00717DF0">
        <w:trPr>
          <w:trHeight w:val="290"/>
        </w:trPr>
        <w:tc>
          <w:tcPr>
            <w:tcW w:w="3119" w:type="dxa"/>
          </w:tcPr>
          <w:p w14:paraId="71236054" w14:textId="77777777" w:rsidR="00717DF0" w:rsidRPr="00C31FFF" w:rsidRDefault="00717DF0" w:rsidP="00C31FFF">
            <w:pPr>
              <w:pStyle w:val="TableParagraph"/>
              <w:spacing w:line="276" w:lineRule="auto"/>
              <w:ind w:left="0" w:right="97"/>
              <w:jc w:val="right"/>
              <w:rPr>
                <w:b/>
                <w:color w:val="000000" w:themeColor="text1"/>
                <w:lang w:val="ro-RO"/>
              </w:rPr>
            </w:pPr>
            <w:r w:rsidRPr="00C31FFF">
              <w:rPr>
                <w:b/>
                <w:color w:val="000000" w:themeColor="text1"/>
                <w:lang w:val="ro-RO"/>
              </w:rPr>
              <w:t>Total</w:t>
            </w:r>
          </w:p>
        </w:tc>
        <w:tc>
          <w:tcPr>
            <w:tcW w:w="2694" w:type="dxa"/>
          </w:tcPr>
          <w:p w14:paraId="753357EB" w14:textId="0BEAEA7B" w:rsidR="00717DF0" w:rsidRPr="00F47A89" w:rsidRDefault="00F47A89" w:rsidP="00C31FFF">
            <w:pPr>
              <w:pStyle w:val="TableParagraph"/>
              <w:spacing w:line="276" w:lineRule="auto"/>
              <w:ind w:right="605"/>
              <w:rPr>
                <w:b/>
                <w:color w:val="000000" w:themeColor="text1"/>
                <w:lang w:val="ro-RO"/>
              </w:rPr>
            </w:pPr>
            <w:r w:rsidRPr="00F47A89">
              <w:rPr>
                <w:rStyle w:val="Strong"/>
                <w:color w:val="000000" w:themeColor="text1"/>
              </w:rPr>
              <w:t>10,007,968</w:t>
            </w:r>
          </w:p>
        </w:tc>
        <w:tc>
          <w:tcPr>
            <w:tcW w:w="4110" w:type="dxa"/>
          </w:tcPr>
          <w:p w14:paraId="4DC0D7AB" w14:textId="77777777" w:rsidR="00717DF0" w:rsidRPr="00C31FFF" w:rsidRDefault="00717DF0" w:rsidP="00C31FFF">
            <w:pPr>
              <w:pStyle w:val="TableParagraph"/>
              <w:spacing w:line="276" w:lineRule="auto"/>
              <w:ind w:left="0" w:right="0"/>
              <w:jc w:val="left"/>
              <w:rPr>
                <w:color w:val="000000" w:themeColor="text1"/>
                <w:sz w:val="20"/>
                <w:lang w:val="ro-RO"/>
              </w:rPr>
            </w:pPr>
          </w:p>
        </w:tc>
      </w:tr>
    </w:tbl>
    <w:p w14:paraId="09497CA9" w14:textId="77777777" w:rsidR="00717DF0" w:rsidRPr="00C31FFF" w:rsidRDefault="00717DF0" w:rsidP="00C31FFF">
      <w:pPr>
        <w:spacing w:after="0"/>
        <w:jc w:val="both"/>
        <w:rPr>
          <w:rFonts w:ascii="Arial" w:hAnsi="Arial" w:cs="Arial"/>
          <w:color w:val="000000" w:themeColor="text1"/>
          <w:lang w:val="ro-RO"/>
        </w:rPr>
      </w:pPr>
    </w:p>
    <w:p w14:paraId="2D3A7A03" w14:textId="2D3FE56F" w:rsidR="00717DF0" w:rsidRPr="00C31FFF" w:rsidRDefault="00717DF0" w:rsidP="00C31FFF">
      <w:pPr>
        <w:spacing w:after="0"/>
        <w:jc w:val="both"/>
        <w:rPr>
          <w:rFonts w:ascii="Arial" w:hAnsi="Arial" w:cs="Arial"/>
          <w:b/>
          <w:bCs/>
          <w:color w:val="000000" w:themeColor="text1"/>
          <w:lang w:val="ro-RO"/>
        </w:rPr>
      </w:pPr>
      <w:r w:rsidRPr="00C31FFF">
        <w:rPr>
          <w:rFonts w:ascii="Arial" w:hAnsi="Arial" w:cs="Arial"/>
          <w:b/>
          <w:bCs/>
          <w:color w:val="000000" w:themeColor="text1"/>
          <w:lang w:val="ro-RO"/>
        </w:rPr>
        <w:lastRenderedPageBreak/>
        <w:t xml:space="preserve">Tranziția de la finanțarea Fondului Global. </w:t>
      </w:r>
      <w:r w:rsidRPr="00C31FFF">
        <w:rPr>
          <w:rFonts w:ascii="Arial" w:hAnsi="Arial" w:cs="Arial"/>
          <w:color w:val="000000" w:themeColor="text1"/>
          <w:lang w:val="ro-RO"/>
        </w:rPr>
        <w:t>În conformitate cu Politica Fondului Global privind sustenabilitatea, tranziția și cofinanțarea</w:t>
      </w:r>
      <w:r w:rsidR="00AE44A3">
        <w:rPr>
          <w:rStyle w:val="FootnoteReference"/>
          <w:rFonts w:ascii="Arial" w:hAnsi="Arial" w:cs="Arial"/>
          <w:color w:val="000000" w:themeColor="text1"/>
          <w:lang w:val="ro-RO"/>
        </w:rPr>
        <w:footnoteReference w:id="4"/>
      </w:r>
      <w:r w:rsidRPr="00C31FFF">
        <w:rPr>
          <w:rFonts w:ascii="Arial" w:hAnsi="Arial" w:cs="Arial"/>
          <w:color w:val="000000" w:themeColor="text1"/>
          <w:lang w:val="ro-RO"/>
        </w:rPr>
        <w:t xml:space="preserve"> (STC), Fondul Global a stabilit că GC8 va reprezenta ultima alocare pentru Republica Moldova pentru HIV și TB. Prin urmare, prioritățile de investiții trebuie să reflecte necesitatea tranziției către finanțare internă la finalul acestui ciclu de grant.</w:t>
      </w:r>
      <w:r w:rsidR="00F47A89">
        <w:rPr>
          <w:rFonts w:ascii="Arial" w:hAnsi="Arial" w:cs="Arial"/>
          <w:color w:val="000000" w:themeColor="text1"/>
          <w:lang w:val="ro-RO"/>
        </w:rPr>
        <w:t xml:space="preserve"> </w:t>
      </w:r>
      <w:r w:rsidR="00F47A89" w:rsidRPr="00F47A89">
        <w:rPr>
          <w:rFonts w:ascii="Arial" w:hAnsi="Arial" w:cs="Arial"/>
          <w:lang w:val="ro-RO"/>
        </w:rPr>
        <w:t xml:space="preserve">Orientări specifice sunt incluse în secțiunea </w:t>
      </w:r>
      <w:r w:rsidR="00F47A89" w:rsidRPr="00F47A89">
        <w:rPr>
          <w:rFonts w:ascii="Arial" w:hAnsi="Arial" w:cs="Arial"/>
          <w:i/>
          <w:iCs/>
          <w:lang w:val="ro-RO"/>
        </w:rPr>
        <w:t>Scopurile alocării</w:t>
      </w:r>
      <w:r w:rsidR="00F47A89" w:rsidRPr="00F47A89">
        <w:rPr>
          <w:rFonts w:ascii="Arial" w:hAnsi="Arial" w:cs="Arial"/>
          <w:lang w:val="ro-RO"/>
        </w:rPr>
        <w:t xml:space="preserve">, iar așteptările privind cofinanțarea sunt descrise în </w:t>
      </w:r>
      <w:r w:rsidR="00F47A89" w:rsidRPr="00F47A89">
        <w:rPr>
          <w:rFonts w:ascii="Arial" w:hAnsi="Arial" w:cs="Arial"/>
          <w:b/>
          <w:bCs/>
          <w:lang w:val="ro-RO"/>
        </w:rPr>
        <w:t>Anexa A</w:t>
      </w:r>
      <w:r w:rsidR="00F47A89" w:rsidRPr="00F47A89">
        <w:rPr>
          <w:rFonts w:ascii="Arial" w:hAnsi="Arial" w:cs="Arial"/>
          <w:lang w:val="ro-RO"/>
        </w:rPr>
        <w:t xml:space="preserve"> </w:t>
      </w:r>
      <w:proofErr w:type="spellStart"/>
      <w:r w:rsidR="00F47A89" w:rsidRPr="00F47A89">
        <w:rPr>
          <w:rFonts w:ascii="Arial" w:hAnsi="Arial" w:cs="Arial"/>
          <w:lang w:val="ro-RO"/>
        </w:rPr>
        <w:t>a</w:t>
      </w:r>
      <w:proofErr w:type="spellEnd"/>
      <w:r w:rsidR="00F47A89" w:rsidRPr="00F47A89">
        <w:rPr>
          <w:rFonts w:ascii="Arial" w:hAnsi="Arial" w:cs="Arial"/>
          <w:lang w:val="ro-RO"/>
        </w:rPr>
        <w:t xml:space="preserve"> prezentei scrisori.</w:t>
      </w:r>
    </w:p>
    <w:p w14:paraId="37678A40" w14:textId="77777777" w:rsidR="00717DF0" w:rsidRPr="00C31FFF" w:rsidRDefault="00717DF0" w:rsidP="00C31FFF">
      <w:pPr>
        <w:spacing w:after="0"/>
        <w:jc w:val="both"/>
        <w:rPr>
          <w:rFonts w:ascii="Arial" w:hAnsi="Arial" w:cs="Arial"/>
          <w:color w:val="000000" w:themeColor="text1"/>
          <w:lang w:val="ro-RO"/>
        </w:rPr>
      </w:pPr>
    </w:p>
    <w:p w14:paraId="1A2F85D4" w14:textId="722E3F01" w:rsidR="00717DF0" w:rsidRPr="00C31FFF" w:rsidRDefault="00717DF0" w:rsidP="00C31FFF">
      <w:pPr>
        <w:shd w:val="clear" w:color="auto" w:fill="D1D1D1" w:themeFill="background2" w:themeFillShade="E6"/>
        <w:spacing w:after="0"/>
        <w:jc w:val="both"/>
        <w:rPr>
          <w:rFonts w:ascii="Arial" w:hAnsi="Arial" w:cs="Arial"/>
          <w:b/>
          <w:bCs/>
          <w:color w:val="000000" w:themeColor="text1"/>
          <w:lang w:val="ro-RO"/>
        </w:rPr>
      </w:pPr>
      <w:r w:rsidRPr="00C31FFF">
        <w:rPr>
          <w:rFonts w:ascii="Arial" w:hAnsi="Arial" w:cs="Arial"/>
          <w:b/>
          <w:bCs/>
          <w:color w:val="000000" w:themeColor="text1"/>
          <w:lang w:val="ro-RO"/>
        </w:rPr>
        <w:t>Scopurile Alocării</w:t>
      </w:r>
    </w:p>
    <w:p w14:paraId="2C2DE1EB" w14:textId="77777777" w:rsidR="00717DF0" w:rsidRPr="00C31FFF" w:rsidRDefault="00717DF0" w:rsidP="00C31FFF">
      <w:pPr>
        <w:spacing w:after="0"/>
        <w:jc w:val="both"/>
        <w:rPr>
          <w:rFonts w:ascii="Arial" w:hAnsi="Arial" w:cs="Arial"/>
          <w:color w:val="000000" w:themeColor="text1"/>
          <w:lang w:val="ro-RO"/>
        </w:rPr>
      </w:pPr>
    </w:p>
    <w:p w14:paraId="7740CE48" w14:textId="180F1A5E"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 xml:space="preserve">Discuțiile din cadrul dialogului de țară privind utilizarea alocării trebuie să asigure o </w:t>
      </w:r>
      <w:proofErr w:type="spellStart"/>
      <w:r w:rsidRPr="00C31FFF">
        <w:rPr>
          <w:rFonts w:ascii="Arial" w:hAnsi="Arial" w:cs="Arial"/>
          <w:color w:val="000000" w:themeColor="text1"/>
          <w:lang w:val="ro-RO"/>
        </w:rPr>
        <w:t>prioritizare</w:t>
      </w:r>
      <w:proofErr w:type="spellEnd"/>
      <w:r w:rsidRPr="00C31FFF">
        <w:rPr>
          <w:rFonts w:ascii="Arial" w:hAnsi="Arial" w:cs="Arial"/>
          <w:color w:val="000000" w:themeColor="text1"/>
          <w:lang w:val="ro-RO"/>
        </w:rPr>
        <w:t xml:space="preserve"> riguroasă a investițiilor în HIV, TB și RSSH, luând în considerare datele epidemiologice actualizate, ghidurile normative ale OMS și orientările de investiții GC8</w:t>
      </w:r>
      <w:r w:rsidR="00AE44A3">
        <w:rPr>
          <w:rStyle w:val="FootnoteReference"/>
          <w:rFonts w:ascii="Arial" w:hAnsi="Arial" w:cs="Arial"/>
          <w:color w:val="000000" w:themeColor="text1"/>
          <w:lang w:val="ro-RO"/>
        </w:rPr>
        <w:footnoteReference w:id="5"/>
      </w:r>
      <w:r w:rsidRPr="00C31FFF">
        <w:rPr>
          <w:rFonts w:ascii="Arial" w:hAnsi="Arial" w:cs="Arial"/>
          <w:color w:val="000000" w:themeColor="text1"/>
          <w:lang w:val="ro-RO"/>
        </w:rPr>
        <w:t xml:space="preserve"> ale Fondului Global.</w:t>
      </w:r>
    </w:p>
    <w:p w14:paraId="0C369F2A" w14:textId="77777777" w:rsidR="00717DF0" w:rsidRPr="00C31FFF" w:rsidRDefault="00717DF0" w:rsidP="00C31FFF">
      <w:pPr>
        <w:spacing w:after="0"/>
        <w:jc w:val="both"/>
        <w:rPr>
          <w:rFonts w:ascii="Arial" w:hAnsi="Arial" w:cs="Arial"/>
          <w:color w:val="000000" w:themeColor="text1"/>
          <w:lang w:val="ro-RO"/>
        </w:rPr>
      </w:pPr>
    </w:p>
    <w:p w14:paraId="2476A30B" w14:textId="440C506D"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Republica Moldova este încurajată să se concentreze pe implementarea unui plan solid de tranziție care să permită finanțarea integrală din resurse interne a răspunsului la HIV și TB. Investițiile Fondului Global și cofinanțarea ar trebui orientate către prioritățile cheie ale tranziției de la finanțarea Fondului Global, inclusiv: abordări sustenabile pentru finanțarea sistemelor comunitare; mecanisme eficiente de achiziții; integrarea răspunsurilor la boli în sistemul de sănătate; modele simplificate de management.</w:t>
      </w:r>
    </w:p>
    <w:p w14:paraId="7659B1A9" w14:textId="77777777" w:rsidR="00717DF0" w:rsidRPr="00C31FFF" w:rsidRDefault="00717DF0" w:rsidP="00C31FFF">
      <w:pPr>
        <w:spacing w:after="0"/>
        <w:jc w:val="both"/>
        <w:rPr>
          <w:rFonts w:ascii="Arial" w:hAnsi="Arial" w:cs="Arial"/>
          <w:color w:val="000000" w:themeColor="text1"/>
          <w:lang w:val="ro-RO"/>
        </w:rPr>
      </w:pPr>
    </w:p>
    <w:p w14:paraId="201E4281" w14:textId="1EF3AC21"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Țările sunt încurajate să identifice oportunități de integrare suplimentară a serviciilor HIV și TB în serviciile de asistență medicală primară, pentru a crește eficiența și impactul intervențiilor. De asemenea, țările sunt încurajate să realizeze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investiții țintite în sistemele de sănătate și comunitare, care consolidează funcțiile esențiale și infrastructura și sporesc implicarea și accesul populațiilor afectate. Astfel de investiții vor consolida</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impactul și sustenabilitatea răspunsurilor la HIV și TB. La stabilirea investițiilor în sistemele de sănătate și comunitare, țările trebuie să asigure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alinierea cu toate sursele de finanțare, inclusiv: finanțarea internă, alte agenții multilaterale (</w:t>
      </w:r>
      <w:proofErr w:type="spellStart"/>
      <w:r w:rsidRPr="00C31FFF">
        <w:rPr>
          <w:rFonts w:ascii="Arial" w:hAnsi="Arial" w:cs="Arial"/>
          <w:color w:val="000000" w:themeColor="text1"/>
          <w:lang w:val="ro-RO"/>
        </w:rPr>
        <w:t>Gavi</w:t>
      </w:r>
      <w:proofErr w:type="spellEnd"/>
      <w:r w:rsidRPr="00C31FFF">
        <w:rPr>
          <w:rFonts w:ascii="Arial" w:hAnsi="Arial" w:cs="Arial"/>
          <w:color w:val="000000" w:themeColor="text1"/>
          <w:lang w:val="ro-RO"/>
        </w:rPr>
        <w:t>, Banca Mondială, alte bănci multilaterale de dezvoltare), Statele Unite și alți parteneri bilaterali. Recomandăm ca</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Mecanismul de Coordonare al Țării (CCM)</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să invite reprezentanți ai ministerelor relevante și ai partenerilor la întâlnirile de dialog de țară pentru a dezvolta investițiile într-un mod</w:t>
      </w:r>
      <w:r w:rsidR="00C31FFF" w:rsidRPr="00C31FFF">
        <w:rPr>
          <w:rFonts w:ascii="Arial" w:hAnsi="Arial" w:cs="Arial"/>
          <w:color w:val="000000" w:themeColor="text1"/>
          <w:lang w:val="ro-RO"/>
        </w:rPr>
        <w:t xml:space="preserve"> </w:t>
      </w:r>
      <w:proofErr w:type="spellStart"/>
      <w:r w:rsidRPr="00C31FFF">
        <w:rPr>
          <w:rFonts w:ascii="Arial" w:hAnsi="Arial" w:cs="Arial"/>
          <w:color w:val="000000" w:themeColor="text1"/>
          <w:lang w:val="ro-RO"/>
        </w:rPr>
        <w:t>colaborativ</w:t>
      </w:r>
      <w:proofErr w:type="spellEnd"/>
      <w:r w:rsidRPr="00C31FFF">
        <w:rPr>
          <w:rFonts w:ascii="Arial" w:hAnsi="Arial" w:cs="Arial"/>
          <w:color w:val="000000" w:themeColor="text1"/>
          <w:lang w:val="ro-RO"/>
        </w:rPr>
        <w:t xml:space="preserve"> și </w:t>
      </w:r>
      <w:proofErr w:type="spellStart"/>
      <w:r w:rsidRPr="00C31FFF">
        <w:rPr>
          <w:rFonts w:ascii="Arial" w:hAnsi="Arial" w:cs="Arial"/>
          <w:color w:val="000000" w:themeColor="text1"/>
          <w:lang w:val="ro-RO"/>
        </w:rPr>
        <w:t>holistic</w:t>
      </w:r>
      <w:proofErr w:type="spellEnd"/>
      <w:r w:rsidRPr="00C31FFF">
        <w:rPr>
          <w:rFonts w:ascii="Arial" w:hAnsi="Arial" w:cs="Arial"/>
          <w:color w:val="000000" w:themeColor="text1"/>
          <w:lang w:val="ro-RO"/>
        </w:rPr>
        <w:t>.</w:t>
      </w:r>
    </w:p>
    <w:p w14:paraId="2DBA294D" w14:textId="1D5BAD78" w:rsidR="00057740" w:rsidRPr="00C31FFF" w:rsidRDefault="00057740"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În plus, Fondul Global dorește să ofere orientări specifice pentru cererea de finanțare a Republicii Moldova:</w:t>
      </w:r>
    </w:p>
    <w:p w14:paraId="00315F4F" w14:textId="7DFBB9B8" w:rsidR="00057740" w:rsidRPr="00C31FFF" w:rsidRDefault="00057740" w:rsidP="00C31FFF">
      <w:pPr>
        <w:pStyle w:val="NormalWeb"/>
        <w:numPr>
          <w:ilvl w:val="0"/>
          <w:numId w:val="3"/>
        </w:numPr>
        <w:spacing w:after="0" w:afterAutospacing="0"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În cadrul</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ultimei alocări a Fondului Global pentru Moldova, fondurile GC8 ar trebui să se concentreze pe abordarea celor mai critice</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lacune programatice, de politici și de finanțare, care, dacă vor fi remediate, ar asigura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o tranziție eficientă de la sprijinul Fondului Global.</w:t>
      </w:r>
    </w:p>
    <w:p w14:paraId="28A5AAE2" w14:textId="150BB9AB" w:rsidR="00057740" w:rsidRPr="00C31FFF" w:rsidRDefault="00057740" w:rsidP="00C31FFF">
      <w:pPr>
        <w:pStyle w:val="NormalWeb"/>
        <w:numPr>
          <w:ilvl w:val="0"/>
          <w:numId w:val="3"/>
        </w:numPr>
        <w:spacing w:after="0" w:afterAutospacing="0"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Pentru a asigura o</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tranziție de succes și un impact programatic durabil, Fondul Global încurajează țara să acorde prioritate următoarelor domenii de investiții în HIV: (a)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creșterea ponderii finanțării interne</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pentru serviciile de prevenire destinate</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populațiilor-cheie, cu obiectivul de a asigura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 xml:space="preserve">finanțarea integrală din resurse interne până la finalul </w:t>
      </w:r>
      <w:r w:rsidRPr="00C31FFF">
        <w:rPr>
          <w:rFonts w:ascii="Arial" w:eastAsiaTheme="minorEastAsia" w:hAnsi="Arial" w:cs="Arial"/>
          <w:color w:val="000000" w:themeColor="text1"/>
          <w:sz w:val="22"/>
          <w:szCs w:val="22"/>
          <w:lang w:val="ro-RO"/>
        </w:rPr>
        <w:lastRenderedPageBreak/>
        <w:t>GC8, prin valorificarea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schemei naționale de asigurări de sănătate; (b) având în vedere lacunele existente în</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primele două etape ale cascadei HIV, investiții în</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modele diferențiate de furnizare a serviciilor pentru populațiile-cheie, inclusiv prin</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răspunsuri conduse de comunitate, pentru a elimina barierele structurale și de acces la servicii și pentru a asigura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legături mai solide cu serviciile de tratament; (c)</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introducerea noii profilaxii pre-expunere injectabile (</w:t>
      </w:r>
      <w:proofErr w:type="spellStart"/>
      <w:r w:rsidRPr="00C31FFF">
        <w:rPr>
          <w:rFonts w:ascii="Arial" w:eastAsiaTheme="minorEastAsia" w:hAnsi="Arial" w:cs="Arial"/>
          <w:color w:val="000000" w:themeColor="text1"/>
          <w:sz w:val="22"/>
          <w:szCs w:val="22"/>
          <w:lang w:val="ro-RO"/>
        </w:rPr>
        <w:t>PrEP</w:t>
      </w:r>
      <w:proofErr w:type="spellEnd"/>
      <w:r w:rsidRPr="00C31FFF">
        <w:rPr>
          <w:rFonts w:ascii="Arial" w:eastAsiaTheme="minorEastAsia" w:hAnsi="Arial" w:cs="Arial"/>
          <w:color w:val="000000" w:themeColor="text1"/>
          <w:sz w:val="22"/>
          <w:szCs w:val="22"/>
          <w:lang w:val="ro-RO"/>
        </w:rPr>
        <w:t>), cu obiectivul integrării acesteia în</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modelul național de furnizare a serviciilor</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și asigurării</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 xml:space="preserve">finanțării integrale din resurse interne pentru toate intervențiile </w:t>
      </w:r>
      <w:proofErr w:type="spellStart"/>
      <w:r w:rsidRPr="00C31FFF">
        <w:rPr>
          <w:rFonts w:ascii="Arial" w:eastAsiaTheme="minorEastAsia" w:hAnsi="Arial" w:cs="Arial"/>
          <w:color w:val="000000" w:themeColor="text1"/>
          <w:sz w:val="22"/>
          <w:szCs w:val="22"/>
          <w:lang w:val="ro-RO"/>
        </w:rPr>
        <w:t>PrEP</w:t>
      </w:r>
      <w:proofErr w:type="spellEnd"/>
      <w:r w:rsidRPr="00C31FFF">
        <w:rPr>
          <w:rFonts w:ascii="Arial" w:eastAsiaTheme="minorEastAsia" w:hAnsi="Arial" w:cs="Arial"/>
          <w:color w:val="000000" w:themeColor="text1"/>
          <w:sz w:val="22"/>
          <w:szCs w:val="22"/>
          <w:lang w:val="ro-RO"/>
        </w:rPr>
        <w:t xml:space="preserve"> până la finalul GC8.</w:t>
      </w:r>
    </w:p>
    <w:p w14:paraId="6E570897" w14:textId="77777777" w:rsidR="00057740" w:rsidRPr="00C31FFF" w:rsidRDefault="00057740" w:rsidP="00C31FFF">
      <w:pPr>
        <w:pStyle w:val="NormalWeb"/>
        <w:spacing w:before="0" w:beforeAutospacing="0" w:after="0" w:afterAutospacing="0" w:line="276" w:lineRule="auto"/>
        <w:jc w:val="both"/>
        <w:rPr>
          <w:rFonts w:ascii="Arial" w:eastAsiaTheme="minorEastAsia" w:hAnsi="Arial" w:cs="Arial"/>
          <w:color w:val="000000" w:themeColor="text1"/>
          <w:sz w:val="22"/>
          <w:szCs w:val="22"/>
          <w:lang w:val="ro-RO"/>
        </w:rPr>
      </w:pPr>
    </w:p>
    <w:p w14:paraId="1EC9703D" w14:textId="27233429" w:rsidR="00717DF0" w:rsidRPr="00C31FFF" w:rsidRDefault="00057740" w:rsidP="00C31FFF">
      <w:pPr>
        <w:pStyle w:val="NormalWeb"/>
        <w:numPr>
          <w:ilvl w:val="0"/>
          <w:numId w:val="3"/>
        </w:numPr>
        <w:spacing w:before="0" w:beforeAutospacing="0" w:after="0" w:afterAutospacing="0"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Pentru a asigura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tranziția cu succes a programului TB</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și pentru a optimiza rezultatele programatice, țara ar trebui să acorde prioritate: (a)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 xml:space="preserve">depistării active a cazurilor și </w:t>
      </w:r>
      <w:proofErr w:type="spellStart"/>
      <w:r w:rsidRPr="00C31FFF">
        <w:rPr>
          <w:rFonts w:ascii="Arial" w:eastAsiaTheme="minorEastAsia" w:hAnsi="Arial" w:cs="Arial"/>
          <w:color w:val="000000" w:themeColor="text1"/>
          <w:sz w:val="22"/>
          <w:szCs w:val="22"/>
          <w:lang w:val="ro-RO"/>
        </w:rPr>
        <w:t>screeningului</w:t>
      </w:r>
      <w:proofErr w:type="spellEnd"/>
      <w:r w:rsidRPr="00C31FFF">
        <w:rPr>
          <w:rFonts w:ascii="Arial" w:eastAsiaTheme="minorEastAsia" w:hAnsi="Arial" w:cs="Arial"/>
          <w:color w:val="000000" w:themeColor="text1"/>
          <w:sz w:val="22"/>
          <w:szCs w:val="22"/>
          <w:lang w:val="ro-RO"/>
        </w:rPr>
        <w:t xml:space="preserve"> țintit pentru TB</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în rândul populațiilor cu acces limitat la servicii de sănătate, valorificând</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schema națională de asigurări de sănătate; și (b)</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finalizării tranziției complete către finanțare internă sustenabilă</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a activităților de laborator, diagnostic și tratament susținute de Fondul Global, asigurând totodată</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menținerea rolului societății civile și al comunităților</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ca parte integrantă 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răspunsului național la TB.</w:t>
      </w:r>
    </w:p>
    <w:p w14:paraId="4FF0A59C" w14:textId="77777777" w:rsidR="00057740" w:rsidRPr="00C31FFF" w:rsidRDefault="00057740" w:rsidP="00C31FFF">
      <w:pPr>
        <w:pStyle w:val="NormalWeb"/>
        <w:spacing w:before="0" w:beforeAutospacing="0" w:after="0" w:afterAutospacing="0" w:line="276" w:lineRule="auto"/>
        <w:jc w:val="both"/>
        <w:rPr>
          <w:rFonts w:ascii="Arial" w:eastAsiaTheme="minorEastAsia" w:hAnsi="Arial" w:cs="Arial"/>
          <w:color w:val="000000" w:themeColor="text1"/>
          <w:sz w:val="22"/>
          <w:szCs w:val="22"/>
          <w:lang w:val="ro-RO"/>
        </w:rPr>
      </w:pPr>
    </w:p>
    <w:p w14:paraId="35B062D7" w14:textId="7B715D7C" w:rsidR="00AE44A3" w:rsidRDefault="00057740" w:rsidP="00AE44A3">
      <w:pPr>
        <w:shd w:val="clear" w:color="auto" w:fill="D1D1D1" w:themeFill="background2" w:themeFillShade="E6"/>
        <w:spacing w:after="0"/>
        <w:jc w:val="both"/>
        <w:rPr>
          <w:rFonts w:ascii="Arial" w:hAnsi="Arial" w:cs="Arial"/>
          <w:b/>
          <w:bCs/>
          <w:color w:val="000000" w:themeColor="text1"/>
          <w:lang w:val="ro-RO"/>
        </w:rPr>
      </w:pPr>
      <w:r w:rsidRPr="00C31FFF">
        <w:rPr>
          <w:rFonts w:ascii="Arial" w:hAnsi="Arial" w:cs="Arial"/>
          <w:b/>
          <w:bCs/>
          <w:color w:val="000000" w:themeColor="text1"/>
          <w:lang w:val="ro-RO"/>
        </w:rPr>
        <w:t>Condiții pentru accesarea alocării</w:t>
      </w:r>
    </w:p>
    <w:p w14:paraId="3DA5ADDB" w14:textId="77777777" w:rsidR="00AE44A3" w:rsidRDefault="00AE44A3" w:rsidP="00AE44A3">
      <w:pPr>
        <w:shd w:val="clear" w:color="auto" w:fill="FFFFFF" w:themeFill="background1"/>
        <w:spacing w:after="0"/>
        <w:jc w:val="both"/>
        <w:rPr>
          <w:rFonts w:ascii="Arial" w:hAnsi="Arial" w:cs="Arial"/>
          <w:color w:val="000000" w:themeColor="text1"/>
          <w:lang w:val="ro-RO"/>
        </w:rPr>
      </w:pPr>
    </w:p>
    <w:p w14:paraId="156E7241" w14:textId="471C5CFA" w:rsidR="00AE44A3" w:rsidRDefault="00057740" w:rsidP="00AE44A3">
      <w:pPr>
        <w:shd w:val="clear" w:color="auto" w:fill="FFFFFF" w:themeFill="background1"/>
        <w:spacing w:after="0"/>
        <w:jc w:val="both"/>
        <w:rPr>
          <w:rFonts w:ascii="Arial" w:hAnsi="Arial" w:cs="Arial"/>
          <w:color w:val="000000" w:themeColor="text1"/>
          <w:lang w:val="ro-RO"/>
        </w:rPr>
      </w:pPr>
      <w:r w:rsidRPr="00AE44A3">
        <w:rPr>
          <w:rFonts w:ascii="Arial" w:hAnsi="Arial" w:cs="Arial"/>
          <w:b/>
          <w:bCs/>
          <w:color w:val="000000" w:themeColor="text1"/>
          <w:lang w:val="ro-RO"/>
        </w:rPr>
        <w:t>Cerințele de eligibilitate ale CCM.</w:t>
      </w:r>
      <w:r w:rsidRPr="00C31FFF">
        <w:rPr>
          <w:rFonts w:ascii="Arial" w:hAnsi="Arial" w:cs="Arial"/>
          <w:color w:val="000000" w:themeColor="text1"/>
          <w:lang w:val="ro-RO"/>
        </w:rPr>
        <w:t xml:space="preserve"> Secretariatul Fondului Global verifică toate aplicațiile pentru a se asigura că acestea respectă</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cerințele de eligibilitate ale Mecanismului de Coordonare de Țară (CCM)</w:t>
      </w:r>
      <w:r w:rsidR="00AE44A3" w:rsidRPr="00AE44A3">
        <w:footnoteReference w:id="6"/>
      </w:r>
      <w:r w:rsidRPr="00C31FFF">
        <w:rPr>
          <w:rFonts w:ascii="Arial" w:hAnsi="Arial" w:cs="Arial"/>
          <w:color w:val="000000" w:themeColor="text1"/>
          <w:lang w:val="ro-RO"/>
        </w:rPr>
        <w:t>. Respectarea cerințelor</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1 și 2</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este evaluată la momentul</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depunerii cererii de finanțare</w:t>
      </w:r>
      <w:r w:rsidR="00AE44A3">
        <w:rPr>
          <w:rStyle w:val="FootnoteReference"/>
          <w:rFonts w:ascii="Arial" w:hAnsi="Arial" w:cs="Arial"/>
          <w:color w:val="000000" w:themeColor="text1"/>
          <w:lang w:val="ro-RO"/>
        </w:rPr>
        <w:footnoteReference w:id="7"/>
      </w:r>
      <w:r w:rsidRPr="00C31FFF">
        <w:rPr>
          <w:rFonts w:ascii="Arial" w:hAnsi="Arial" w:cs="Arial"/>
          <w:color w:val="000000" w:themeColor="text1"/>
          <w:lang w:val="ro-RO"/>
        </w:rPr>
        <w:t>, iar celelalte cerințe continuă să fie evaluate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în mod anual. Respectarea continuă a tuturor cerințelor de eligibilitate constituie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o condiție pentru accesarea finanțării Fondului Global (inclusiv pentru CCM).</w:t>
      </w:r>
    </w:p>
    <w:p w14:paraId="33716C6F" w14:textId="77777777" w:rsidR="00AE44A3" w:rsidRDefault="00AE44A3" w:rsidP="00AE44A3">
      <w:pPr>
        <w:shd w:val="clear" w:color="auto" w:fill="FFFFFF" w:themeFill="background1"/>
        <w:spacing w:after="0"/>
        <w:jc w:val="both"/>
        <w:rPr>
          <w:rFonts w:ascii="Arial" w:hAnsi="Arial" w:cs="Arial"/>
          <w:color w:val="000000" w:themeColor="text1"/>
          <w:lang w:val="ro-RO"/>
        </w:rPr>
      </w:pPr>
    </w:p>
    <w:p w14:paraId="4E33E601" w14:textId="0E3ED007" w:rsidR="00AE44A3" w:rsidRDefault="00057740" w:rsidP="00AE44A3">
      <w:pPr>
        <w:shd w:val="clear" w:color="auto" w:fill="FFFFFF" w:themeFill="background1"/>
        <w:spacing w:after="0"/>
        <w:jc w:val="both"/>
        <w:rPr>
          <w:rFonts w:ascii="Arial" w:hAnsi="Arial" w:cs="Arial"/>
          <w:color w:val="000000" w:themeColor="text1"/>
          <w:lang w:val="ro-RO"/>
        </w:rPr>
      </w:pPr>
      <w:r w:rsidRPr="00C31FFF">
        <w:rPr>
          <w:rFonts w:ascii="Arial" w:hAnsi="Arial" w:cs="Arial"/>
          <w:b/>
          <w:bCs/>
          <w:color w:val="000000" w:themeColor="text1"/>
          <w:lang w:val="ro-RO"/>
        </w:rPr>
        <w:t>Focusul finanțării.</w:t>
      </w:r>
      <w:r w:rsidRPr="00C31FFF">
        <w:rPr>
          <w:rFonts w:ascii="Arial" w:hAnsi="Arial" w:cs="Arial"/>
          <w:color w:val="000000" w:themeColor="text1"/>
          <w:lang w:val="ro-RO"/>
        </w:rPr>
        <w:t xml:space="preserve"> Politica privind sustenabilitatea, tranziția și cofinanțarea (STC)</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stabilește cerințele privind</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 xml:space="preserve">Focusul finanțării (Focus of </w:t>
      </w:r>
      <w:proofErr w:type="spellStart"/>
      <w:r w:rsidRPr="00C31FFF">
        <w:rPr>
          <w:rFonts w:ascii="Arial" w:hAnsi="Arial" w:cs="Arial"/>
          <w:color w:val="000000" w:themeColor="text1"/>
          <w:lang w:val="ro-RO"/>
        </w:rPr>
        <w:t>Funding</w:t>
      </w:r>
      <w:proofErr w:type="spellEnd"/>
      <w:r w:rsidRPr="00C31FFF">
        <w:rPr>
          <w:rFonts w:ascii="Arial" w:hAnsi="Arial" w:cs="Arial"/>
          <w:color w:val="000000" w:themeColor="text1"/>
          <w:lang w:val="ro-RO"/>
        </w:rPr>
        <w:t>)</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pentru toate țările, în funcție de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nivelul lor de venit. Republica Moldova este clasificată ca</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țară cu venit mediu superior (</w:t>
      </w:r>
      <w:proofErr w:type="spellStart"/>
      <w:r w:rsidRPr="00C31FFF">
        <w:rPr>
          <w:rFonts w:ascii="Arial" w:hAnsi="Arial" w:cs="Arial"/>
          <w:color w:val="000000" w:themeColor="text1"/>
          <w:lang w:val="ro-RO"/>
        </w:rPr>
        <w:t>upper</w:t>
      </w:r>
      <w:proofErr w:type="spellEnd"/>
      <w:r w:rsidRPr="00C31FFF">
        <w:rPr>
          <w:rFonts w:ascii="Arial" w:hAnsi="Arial" w:cs="Arial"/>
          <w:color w:val="000000" w:themeColor="text1"/>
          <w:lang w:val="ro-RO"/>
        </w:rPr>
        <w:t xml:space="preserve"> </w:t>
      </w:r>
      <w:proofErr w:type="spellStart"/>
      <w:r w:rsidRPr="00C31FFF">
        <w:rPr>
          <w:rFonts w:ascii="Arial" w:hAnsi="Arial" w:cs="Arial"/>
          <w:color w:val="000000" w:themeColor="text1"/>
          <w:lang w:val="ro-RO"/>
        </w:rPr>
        <w:t>middle-income</w:t>
      </w:r>
      <w:proofErr w:type="spellEnd"/>
      <w:r w:rsidRPr="00C31FFF">
        <w:rPr>
          <w:rFonts w:ascii="Arial" w:hAnsi="Arial" w:cs="Arial"/>
          <w:color w:val="000000" w:themeColor="text1"/>
          <w:lang w:val="ro-RO"/>
        </w:rPr>
        <w:t xml:space="preserve"> country)</w:t>
      </w:r>
      <w:r w:rsidR="00AE44A3">
        <w:rPr>
          <w:rStyle w:val="FootnoteReference"/>
          <w:rFonts w:ascii="Arial" w:hAnsi="Arial" w:cs="Arial"/>
          <w:color w:val="000000" w:themeColor="text1"/>
          <w:lang w:val="ro-RO"/>
        </w:rPr>
        <w:footnoteReference w:id="8"/>
      </w:r>
      <w:r w:rsidRPr="00C31FFF">
        <w:rPr>
          <w:rFonts w:ascii="Arial" w:hAnsi="Arial" w:cs="Arial"/>
          <w:color w:val="000000" w:themeColor="text1"/>
          <w:lang w:val="ro-RO"/>
        </w:rPr>
        <w:t>. Pentru finanțarea de tranziție și</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granturile finale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se aplică recomandări specifice. Vă rugăm să consultați</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nota de orientare</w:t>
      </w:r>
      <w:r w:rsidR="002615AF">
        <w:rPr>
          <w:rStyle w:val="FootnoteReference"/>
          <w:rFonts w:ascii="Arial" w:hAnsi="Arial" w:cs="Arial"/>
          <w:color w:val="000000" w:themeColor="text1"/>
          <w:lang w:val="ro-RO"/>
        </w:rPr>
        <w:footnoteReference w:id="9"/>
      </w:r>
      <w:r w:rsidRPr="00C31FFF">
        <w:rPr>
          <w:rFonts w:ascii="Arial" w:hAnsi="Arial" w:cs="Arial"/>
          <w:color w:val="000000" w:themeColor="text1"/>
          <w:lang w:val="ro-RO"/>
        </w:rPr>
        <w:t xml:space="preserve"> STC</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pentru informațiile relevante pentru țara dumneavoastră.</w:t>
      </w:r>
    </w:p>
    <w:p w14:paraId="2FD0E1C0" w14:textId="77777777" w:rsidR="00AE44A3" w:rsidRDefault="00AE44A3" w:rsidP="00AE44A3">
      <w:pPr>
        <w:shd w:val="clear" w:color="auto" w:fill="FFFFFF" w:themeFill="background1"/>
        <w:spacing w:after="0"/>
        <w:jc w:val="both"/>
        <w:rPr>
          <w:rFonts w:ascii="Arial" w:hAnsi="Arial" w:cs="Arial"/>
          <w:color w:val="000000" w:themeColor="text1"/>
          <w:lang w:val="ro-RO"/>
        </w:rPr>
      </w:pPr>
    </w:p>
    <w:p w14:paraId="4C6A82D3" w14:textId="380B97F2" w:rsidR="00057740" w:rsidRPr="00C31FFF" w:rsidRDefault="00057740" w:rsidP="00AE44A3">
      <w:pPr>
        <w:shd w:val="clear" w:color="auto" w:fill="FFFFFF" w:themeFill="background1"/>
        <w:spacing w:after="0"/>
        <w:jc w:val="both"/>
        <w:rPr>
          <w:rFonts w:ascii="Arial" w:hAnsi="Arial" w:cs="Arial"/>
          <w:color w:val="000000" w:themeColor="text1"/>
          <w:lang w:val="ro-RO"/>
        </w:rPr>
      </w:pPr>
      <w:r w:rsidRPr="00C31FFF">
        <w:rPr>
          <w:rFonts w:ascii="Arial" w:hAnsi="Arial" w:cs="Arial"/>
          <w:b/>
          <w:bCs/>
          <w:color w:val="000000" w:themeColor="text1"/>
          <w:lang w:val="ro-RO"/>
        </w:rPr>
        <w:t>Cerințele privind cofinanțarea.</w:t>
      </w:r>
      <w:r w:rsidRPr="00C31FFF">
        <w:rPr>
          <w:rFonts w:ascii="Arial" w:hAnsi="Arial" w:cs="Arial"/>
          <w:color w:val="000000" w:themeColor="text1"/>
          <w:lang w:val="ro-RO"/>
        </w:rPr>
        <w:t xml:space="preserve"> Finanțarea oferită de Fondul Global</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completează finanțarea internă pentru răspunsurile naționale la</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 xml:space="preserve">HIV, tuberculoză (TB) și consolidarea sistemelor de sănătate </w:t>
      </w:r>
      <w:proofErr w:type="spellStart"/>
      <w:r w:rsidRPr="00C31FFF">
        <w:rPr>
          <w:rFonts w:ascii="Arial" w:hAnsi="Arial" w:cs="Arial"/>
          <w:color w:val="000000" w:themeColor="text1"/>
          <w:lang w:val="ro-RO"/>
        </w:rPr>
        <w:t>reziliente</w:t>
      </w:r>
      <w:proofErr w:type="spellEnd"/>
      <w:r w:rsidRPr="00C31FFF">
        <w:rPr>
          <w:rFonts w:ascii="Arial" w:hAnsi="Arial" w:cs="Arial"/>
          <w:color w:val="000000" w:themeColor="text1"/>
          <w:lang w:val="ro-RO"/>
        </w:rPr>
        <w:t xml:space="preserve"> și sustenabile (RSSH). Creșterea resurselor interne pentru sănătate este esențială pentru eliminarea acestor boli, consolidarea durabilă a sistemelor de sănătate, sprijinirea țărilor în tranziția eficientă de la finanțarea Fondului Global. Pentru a accesa</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întreaga alocare GC8, țările trebuie să îndeplinească</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cerințele de cofinanțare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descrise în</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 xml:space="preserve">politica STC. </w:t>
      </w:r>
      <w:r w:rsidRPr="00C31FFF">
        <w:rPr>
          <w:rFonts w:ascii="Arial" w:hAnsi="Arial" w:cs="Arial"/>
          <w:color w:val="000000" w:themeColor="text1"/>
          <w:lang w:val="ro-RO"/>
        </w:rPr>
        <w:lastRenderedPageBreak/>
        <w:t>Toate țările sunt așteptate să își asume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angajamente specifice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pentru creșterea progresivă a finanțării pentru</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intervențiile programatice esențiale, și acoperirea unei</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ponderi tot mai mari a costurilor programelor naționale, în special pentru intervențiile care sunt în prezent finanțate de Fondul Global. Țările cu</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venituri scăzute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și</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venituri medii inferioare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sunt, de asemenea, așteptate să își asume angajamente privind</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creșterea cheltuielilor guvernamentale pentru sănătate</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pe durata perioadei de alocare.</w:t>
      </w:r>
    </w:p>
    <w:p w14:paraId="0A2B8F67" w14:textId="63279D17" w:rsidR="00717DF0" w:rsidRPr="00C31FFF" w:rsidRDefault="00057740" w:rsidP="00C31FFF">
      <w:pPr>
        <w:pStyle w:val="NormalWeb"/>
        <w:spacing w:after="0" w:afterAutospacing="0"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 xml:space="preserve">25% din alocarea GC8 a Republicii Moldova va fi accesibilă dacă Moldova îndeplinește cerințele de cofinanțare prevăzute în </w:t>
      </w:r>
      <w:r w:rsidRPr="00C31FFF">
        <w:rPr>
          <w:rFonts w:ascii="Arial" w:eastAsiaTheme="minorEastAsia" w:hAnsi="Arial" w:cs="Arial"/>
          <w:b/>
          <w:bCs/>
          <w:color w:val="000000" w:themeColor="text1"/>
          <w:sz w:val="22"/>
          <w:szCs w:val="22"/>
          <w:lang w:val="ro-RO"/>
        </w:rPr>
        <w:t xml:space="preserve">Anexa A. </w:t>
      </w:r>
      <w:r w:rsidRPr="00C31FFF">
        <w:rPr>
          <w:rFonts w:ascii="Arial" w:eastAsiaTheme="minorEastAsia" w:hAnsi="Arial" w:cs="Arial"/>
          <w:color w:val="000000" w:themeColor="text1"/>
          <w:sz w:val="22"/>
          <w:szCs w:val="22"/>
          <w:lang w:val="ro-RO"/>
        </w:rPr>
        <w:t>Angajamentele de cofinanțare ale țării trebuie să fie</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finalizate și comunicate Fondului Global în etapa de elaborare a grantului (grant-</w:t>
      </w:r>
      <w:proofErr w:type="spellStart"/>
      <w:r w:rsidRPr="00C31FFF">
        <w:rPr>
          <w:rFonts w:ascii="Arial" w:eastAsiaTheme="minorEastAsia" w:hAnsi="Arial" w:cs="Arial"/>
          <w:color w:val="000000" w:themeColor="text1"/>
          <w:sz w:val="22"/>
          <w:szCs w:val="22"/>
          <w:lang w:val="ro-RO"/>
        </w:rPr>
        <w:t>making</w:t>
      </w:r>
      <w:proofErr w:type="spellEnd"/>
      <w:r w:rsidRPr="00C31FFF">
        <w:rPr>
          <w:rFonts w:ascii="Arial" w:eastAsiaTheme="minorEastAsia" w:hAnsi="Arial" w:cs="Arial"/>
          <w:color w:val="000000" w:themeColor="text1"/>
          <w:sz w:val="22"/>
          <w:szCs w:val="22"/>
          <w:lang w:val="ro-RO"/>
        </w:rPr>
        <w:t>), prin</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scrisori oficiale de angajament privind cofinanțarea, aprobate de</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autoritățile guvernamentale relevante. Aceste angajamente trebuie să fie ambițioase, dar realiste, orientate strategic, și să sprijine eforturile țării de a consolida sustenabilitatea financiară</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și de a</w:t>
      </w:r>
      <w:r w:rsidR="00C31FFF" w:rsidRPr="00C31FFF">
        <w:rPr>
          <w:rFonts w:ascii="Arial" w:eastAsiaTheme="minorEastAsia" w:hAnsi="Arial" w:cs="Arial"/>
          <w:color w:val="000000" w:themeColor="text1"/>
          <w:sz w:val="22"/>
          <w:szCs w:val="22"/>
          <w:lang w:val="ro-RO"/>
        </w:rPr>
        <w:t xml:space="preserve"> </w:t>
      </w:r>
      <w:r w:rsidRPr="00C31FFF">
        <w:rPr>
          <w:rFonts w:ascii="Arial" w:eastAsiaTheme="minorEastAsia" w:hAnsi="Arial" w:cs="Arial"/>
          <w:color w:val="000000" w:themeColor="text1"/>
          <w:sz w:val="22"/>
          <w:szCs w:val="22"/>
          <w:lang w:val="ro-RO"/>
        </w:rPr>
        <w:t>realiza tranziția eficientă de la finanțarea externă.</w:t>
      </w:r>
    </w:p>
    <w:p w14:paraId="19CB482F" w14:textId="77777777" w:rsidR="00057740" w:rsidRPr="00C31FFF" w:rsidRDefault="00057740" w:rsidP="00C31FFF">
      <w:pPr>
        <w:pStyle w:val="NormalWeb"/>
        <w:spacing w:before="0" w:beforeAutospacing="0" w:after="0" w:afterAutospacing="0" w:line="276" w:lineRule="auto"/>
        <w:jc w:val="both"/>
        <w:rPr>
          <w:rFonts w:ascii="Arial" w:eastAsiaTheme="minorEastAsia" w:hAnsi="Arial" w:cs="Arial"/>
          <w:color w:val="000000" w:themeColor="text1"/>
          <w:sz w:val="22"/>
          <w:szCs w:val="22"/>
          <w:lang w:val="ro-RO"/>
        </w:rPr>
      </w:pPr>
    </w:p>
    <w:p w14:paraId="442924CE" w14:textId="544906F9" w:rsidR="00717DF0" w:rsidRPr="00C31FFF" w:rsidRDefault="00057740" w:rsidP="00C31FFF">
      <w:pPr>
        <w:shd w:val="clear" w:color="auto" w:fill="D1D1D1" w:themeFill="background2" w:themeFillShade="E6"/>
        <w:spacing w:after="0"/>
        <w:jc w:val="both"/>
        <w:rPr>
          <w:rFonts w:ascii="Arial" w:hAnsi="Arial" w:cs="Arial"/>
          <w:b/>
          <w:bCs/>
          <w:color w:val="000000" w:themeColor="text1"/>
          <w:lang w:val="ro-RO"/>
        </w:rPr>
      </w:pPr>
      <w:r w:rsidRPr="00C31FFF">
        <w:rPr>
          <w:rFonts w:ascii="Arial" w:hAnsi="Arial" w:cs="Arial"/>
          <w:b/>
          <w:bCs/>
          <w:color w:val="000000" w:themeColor="text1"/>
          <w:lang w:val="ro-RO"/>
        </w:rPr>
        <w:t>Oportunități de Finanțare peste Nivelul Alocării</w:t>
      </w:r>
    </w:p>
    <w:p w14:paraId="7975CA20" w14:textId="77777777" w:rsidR="00717DF0" w:rsidRPr="00C31FFF" w:rsidRDefault="00717DF0" w:rsidP="00C31FFF">
      <w:pPr>
        <w:spacing w:after="0"/>
        <w:jc w:val="both"/>
        <w:rPr>
          <w:rFonts w:ascii="Arial" w:hAnsi="Arial" w:cs="Arial"/>
          <w:color w:val="000000" w:themeColor="text1"/>
          <w:lang w:val="ro-RO"/>
        </w:rPr>
      </w:pPr>
    </w:p>
    <w:p w14:paraId="1C26E96D" w14:textId="755C54A5" w:rsidR="00717DF0" w:rsidRPr="00C31FFF" w:rsidRDefault="00717DF0" w:rsidP="00C31FFF">
      <w:pPr>
        <w:spacing w:after="0"/>
        <w:jc w:val="both"/>
        <w:rPr>
          <w:rFonts w:ascii="Arial" w:hAnsi="Arial" w:cs="Arial"/>
          <w:color w:val="000000" w:themeColor="text1"/>
          <w:lang w:val="ro-RO"/>
        </w:rPr>
      </w:pPr>
      <w:r w:rsidRPr="00C31FFF">
        <w:rPr>
          <w:rFonts w:ascii="Arial" w:hAnsi="Arial" w:cs="Arial"/>
          <w:b/>
          <w:bCs/>
          <w:color w:val="000000" w:themeColor="text1"/>
          <w:lang w:val="ro-RO"/>
        </w:rPr>
        <w:t>Cerere de finanțare de calitate neacoperită</w:t>
      </w:r>
      <w:r w:rsidR="00C31FFF" w:rsidRPr="00C31FFF">
        <w:rPr>
          <w:rFonts w:ascii="Arial" w:hAnsi="Arial" w:cs="Arial"/>
          <w:b/>
          <w:bCs/>
          <w:color w:val="000000" w:themeColor="text1"/>
          <w:lang w:val="ro-RO"/>
        </w:rPr>
        <w:t>.</w:t>
      </w:r>
      <w:r w:rsidR="00C31FFF" w:rsidRPr="00C31FFF">
        <w:rPr>
          <w:rFonts w:ascii="Arial" w:hAnsi="Arial" w:cs="Arial"/>
          <w:color w:val="000000" w:themeColor="text1"/>
          <w:lang w:val="ro-RO"/>
        </w:rPr>
        <w:t xml:space="preserve"> </w:t>
      </w:r>
      <w:r w:rsidRPr="00C31FFF">
        <w:rPr>
          <w:rFonts w:ascii="Arial" w:hAnsi="Arial" w:cs="Arial"/>
          <w:color w:val="000000" w:themeColor="text1"/>
          <w:lang w:val="ro-RO"/>
        </w:rPr>
        <w:t>Fondul Global solicită tuturor solicitanților să elaboreze o cerere prioritară peste nivelul alocării (PAAR). Intervențiile considerate cereri de calitate de către Panelul Tehnic de Revizuire vor fi incluse în Registrul cererilor de finanțare de calitate neacoperite (UQD).</w:t>
      </w:r>
    </w:p>
    <w:p w14:paraId="1BD5BC16" w14:textId="77777777" w:rsidR="00717DF0" w:rsidRPr="00C31FFF" w:rsidRDefault="00717DF0" w:rsidP="00C31FFF">
      <w:pPr>
        <w:spacing w:after="0"/>
        <w:jc w:val="both"/>
        <w:rPr>
          <w:rFonts w:ascii="Arial" w:hAnsi="Arial" w:cs="Arial"/>
          <w:color w:val="000000" w:themeColor="text1"/>
          <w:lang w:val="ro-RO"/>
        </w:rPr>
      </w:pPr>
    </w:p>
    <w:p w14:paraId="7403976A" w14:textId="01C26DC6" w:rsidR="00C31FFF" w:rsidRPr="00C31FFF" w:rsidRDefault="00717DF0" w:rsidP="00C31FFF">
      <w:pPr>
        <w:spacing w:after="0"/>
        <w:jc w:val="both"/>
        <w:rPr>
          <w:rFonts w:ascii="Arial" w:hAnsi="Arial" w:cs="Arial"/>
          <w:color w:val="000000" w:themeColor="text1"/>
          <w:lang w:val="ro-RO"/>
        </w:rPr>
      </w:pPr>
      <w:r w:rsidRPr="00C31FFF">
        <w:rPr>
          <w:rFonts w:ascii="Arial" w:hAnsi="Arial" w:cs="Arial"/>
          <w:b/>
          <w:bCs/>
          <w:color w:val="000000" w:themeColor="text1"/>
          <w:lang w:val="ro-RO"/>
        </w:rPr>
        <w:t>Investiții comune/Debt2Health</w:t>
      </w:r>
      <w:r w:rsidR="00C31FFF" w:rsidRPr="00C31FFF">
        <w:rPr>
          <w:rFonts w:ascii="Arial" w:hAnsi="Arial" w:cs="Arial"/>
          <w:b/>
          <w:bCs/>
          <w:color w:val="000000" w:themeColor="text1"/>
          <w:lang w:val="ro-RO"/>
        </w:rPr>
        <w:t xml:space="preserve">. </w:t>
      </w:r>
      <w:r w:rsidR="00C31FFF" w:rsidRPr="00C31FFF">
        <w:rPr>
          <w:rFonts w:ascii="Arial" w:hAnsi="Arial" w:cs="Arial"/>
          <w:color w:val="000000" w:themeColor="text1"/>
          <w:lang w:val="ro-RO"/>
        </w:rPr>
        <w:t>Consolidarea alinierii cu alți finanțatori externi și utilizarea inovației pentru creșterea resurselor interne destinate sănătății reprezintă o prioritate a Strategiei Fondului Global și sunt esențiale pentru procesul de tranziție. Finanțarea Fondului Global trebuie să fie complementară altor surse de finanțare externă, iar Republica Moldova ar trebui să examineze oportunitățile pentru investiții comune și pentru mobilizarea sporită a resurselor, inclusiv prin mecanisme alternative de finanțare, precum Debt2Health.</w:t>
      </w:r>
    </w:p>
    <w:p w14:paraId="17C00FE4" w14:textId="77777777" w:rsidR="00717DF0" w:rsidRPr="00C31FFF" w:rsidRDefault="00717DF0" w:rsidP="00C31FFF">
      <w:pPr>
        <w:spacing w:after="0"/>
        <w:jc w:val="both"/>
        <w:rPr>
          <w:rFonts w:ascii="Arial" w:hAnsi="Arial" w:cs="Arial"/>
          <w:color w:val="000000" w:themeColor="text1"/>
          <w:lang w:val="ro-RO"/>
        </w:rPr>
      </w:pPr>
    </w:p>
    <w:p w14:paraId="3E2E6336" w14:textId="77777777"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Vă mulțumim pentru angajamentul și eforturile comune în lupta globală împotriva HIV, tuberculozei și malariei.</w:t>
      </w:r>
    </w:p>
    <w:p w14:paraId="14A0F01A" w14:textId="77777777" w:rsidR="00717DF0" w:rsidRPr="00C31FFF" w:rsidRDefault="00717DF0" w:rsidP="00C31FFF">
      <w:pPr>
        <w:spacing w:after="0"/>
        <w:jc w:val="both"/>
        <w:rPr>
          <w:rFonts w:ascii="Arial" w:hAnsi="Arial" w:cs="Arial"/>
          <w:color w:val="000000" w:themeColor="text1"/>
          <w:lang w:val="ro-RO"/>
        </w:rPr>
      </w:pPr>
    </w:p>
    <w:p w14:paraId="7D27D4FB" w14:textId="77F2E5C8"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 xml:space="preserve">Cu </w:t>
      </w:r>
      <w:r w:rsidR="00C31FFF" w:rsidRPr="00C31FFF">
        <w:rPr>
          <w:rFonts w:ascii="Arial" w:hAnsi="Arial" w:cs="Arial"/>
          <w:color w:val="000000" w:themeColor="text1"/>
          <w:lang w:val="ro-RO"/>
        </w:rPr>
        <w:t>respect</w:t>
      </w:r>
      <w:r w:rsidRPr="00C31FFF">
        <w:rPr>
          <w:rFonts w:ascii="Arial" w:hAnsi="Arial" w:cs="Arial"/>
          <w:color w:val="000000" w:themeColor="text1"/>
          <w:lang w:val="ro-RO"/>
        </w:rPr>
        <w:t>,</w:t>
      </w:r>
    </w:p>
    <w:p w14:paraId="7C22A295" w14:textId="77777777" w:rsidR="00717DF0" w:rsidRPr="00C31FFF" w:rsidRDefault="00717DF0" w:rsidP="00C31FFF">
      <w:pPr>
        <w:spacing w:after="0"/>
        <w:jc w:val="both"/>
        <w:rPr>
          <w:rFonts w:ascii="Arial" w:hAnsi="Arial" w:cs="Arial"/>
          <w:color w:val="000000" w:themeColor="text1"/>
          <w:lang w:val="ro-RO"/>
        </w:rPr>
      </w:pPr>
    </w:p>
    <w:p w14:paraId="57C422A4" w14:textId="77777777" w:rsidR="00717DF0" w:rsidRPr="00C31FFF" w:rsidRDefault="00717DF0" w:rsidP="00C31FFF">
      <w:pPr>
        <w:spacing w:after="0"/>
        <w:jc w:val="both"/>
        <w:rPr>
          <w:rFonts w:ascii="Arial" w:hAnsi="Arial" w:cs="Arial"/>
          <w:b/>
          <w:bCs/>
          <w:color w:val="000000" w:themeColor="text1"/>
          <w:lang w:val="ro-RO"/>
        </w:rPr>
      </w:pPr>
      <w:r w:rsidRPr="00C31FFF">
        <w:rPr>
          <w:rFonts w:ascii="Arial" w:hAnsi="Arial" w:cs="Arial"/>
          <w:b/>
          <w:bCs/>
          <w:color w:val="000000" w:themeColor="text1"/>
          <w:lang w:val="ro-RO"/>
        </w:rPr>
        <w:t xml:space="preserve">Mark </w:t>
      </w:r>
      <w:proofErr w:type="spellStart"/>
      <w:r w:rsidRPr="00C31FFF">
        <w:rPr>
          <w:rFonts w:ascii="Arial" w:hAnsi="Arial" w:cs="Arial"/>
          <w:b/>
          <w:bCs/>
          <w:color w:val="000000" w:themeColor="text1"/>
          <w:lang w:val="ro-RO"/>
        </w:rPr>
        <w:t>Eldon</w:t>
      </w:r>
      <w:r w:rsidRPr="00C31FFF">
        <w:rPr>
          <w:rFonts w:ascii="Cambria Math" w:hAnsi="Cambria Math" w:cs="Cambria Math"/>
          <w:b/>
          <w:bCs/>
          <w:color w:val="000000" w:themeColor="text1"/>
          <w:lang w:val="ro-RO"/>
        </w:rPr>
        <w:t>‑</w:t>
      </w:r>
      <w:r w:rsidRPr="00C31FFF">
        <w:rPr>
          <w:rFonts w:ascii="Arial" w:hAnsi="Arial" w:cs="Arial"/>
          <w:b/>
          <w:bCs/>
          <w:color w:val="000000" w:themeColor="text1"/>
          <w:lang w:val="ro-RO"/>
        </w:rPr>
        <w:t>Edington</w:t>
      </w:r>
      <w:proofErr w:type="spellEnd"/>
    </w:p>
    <w:p w14:paraId="1A71D8CE" w14:textId="6D7A42DB" w:rsidR="00717DF0" w:rsidRPr="00C31FFF" w:rsidRDefault="00717DF0" w:rsidP="00C31FFF">
      <w:pPr>
        <w:spacing w:after="0"/>
        <w:jc w:val="both"/>
        <w:rPr>
          <w:rFonts w:ascii="Arial" w:hAnsi="Arial" w:cs="Arial"/>
          <w:color w:val="000000" w:themeColor="text1"/>
          <w:lang w:val="ro-RO"/>
        </w:rPr>
      </w:pPr>
      <w:r w:rsidRPr="00C31FFF">
        <w:rPr>
          <w:rFonts w:ascii="Arial" w:hAnsi="Arial" w:cs="Arial"/>
          <w:color w:val="000000" w:themeColor="text1"/>
          <w:lang w:val="ro-RO"/>
        </w:rPr>
        <w:t xml:space="preserve">Director, Divizia </w:t>
      </w:r>
      <w:r w:rsidR="00F47A89">
        <w:rPr>
          <w:rFonts w:ascii="Arial" w:hAnsi="Arial" w:cs="Arial"/>
          <w:color w:val="000000" w:themeColor="text1"/>
          <w:lang w:val="ro-RO"/>
        </w:rPr>
        <w:t xml:space="preserve">de </w:t>
      </w:r>
      <w:r w:rsidRPr="00C31FFF">
        <w:rPr>
          <w:rFonts w:ascii="Arial" w:hAnsi="Arial" w:cs="Arial"/>
          <w:color w:val="000000" w:themeColor="text1"/>
          <w:lang w:val="ro-RO"/>
        </w:rPr>
        <w:t>Management</w:t>
      </w:r>
      <w:r w:rsidR="00F47A89">
        <w:rPr>
          <w:rFonts w:ascii="Arial" w:hAnsi="Arial" w:cs="Arial"/>
          <w:color w:val="000000" w:themeColor="text1"/>
          <w:lang w:val="ro-RO"/>
        </w:rPr>
        <w:t xml:space="preserve"> al</w:t>
      </w:r>
      <w:r w:rsidRPr="00C31FFF">
        <w:rPr>
          <w:rFonts w:ascii="Arial" w:hAnsi="Arial" w:cs="Arial"/>
          <w:color w:val="000000" w:themeColor="text1"/>
          <w:lang w:val="ro-RO"/>
        </w:rPr>
        <w:t xml:space="preserve"> Granturilor</w:t>
      </w:r>
    </w:p>
    <w:p w14:paraId="1C97078B" w14:textId="77777777" w:rsidR="00717DF0" w:rsidRPr="00C31FFF" w:rsidRDefault="00717DF0" w:rsidP="00C31FFF">
      <w:pPr>
        <w:spacing w:after="0"/>
        <w:jc w:val="both"/>
        <w:rPr>
          <w:rFonts w:ascii="Arial" w:hAnsi="Arial" w:cs="Arial"/>
          <w:color w:val="000000" w:themeColor="text1"/>
          <w:lang w:val="ro-RO"/>
        </w:rPr>
      </w:pPr>
    </w:p>
    <w:p w14:paraId="77B34390" w14:textId="77777777" w:rsidR="00717DF0" w:rsidRPr="00C31FFF" w:rsidRDefault="00717DF0" w:rsidP="00C31FFF">
      <w:pPr>
        <w:jc w:val="both"/>
        <w:rPr>
          <w:rFonts w:ascii="Arial" w:hAnsi="Arial" w:cs="Arial"/>
          <w:color w:val="000000" w:themeColor="text1"/>
          <w:lang w:val="ro-RO"/>
        </w:rPr>
      </w:pPr>
    </w:p>
    <w:p w14:paraId="1A2265E3" w14:textId="77777777" w:rsidR="00C31FFF" w:rsidRPr="00C31FFF" w:rsidRDefault="00C31FFF" w:rsidP="00C31FFF">
      <w:pPr>
        <w:jc w:val="both"/>
        <w:rPr>
          <w:rFonts w:ascii="Arial" w:hAnsi="Arial" w:cs="Arial"/>
          <w:color w:val="000000" w:themeColor="text1"/>
          <w:lang w:val="ro-RO"/>
        </w:rPr>
      </w:pPr>
    </w:p>
    <w:p w14:paraId="30052A4B" w14:textId="77777777" w:rsidR="00C31FFF" w:rsidRPr="00C31FFF" w:rsidRDefault="00C31FFF" w:rsidP="00C31FFF">
      <w:pPr>
        <w:jc w:val="both"/>
        <w:rPr>
          <w:rFonts w:ascii="Arial" w:hAnsi="Arial" w:cs="Arial"/>
          <w:color w:val="000000" w:themeColor="text1"/>
          <w:lang w:val="ro-RO"/>
        </w:rPr>
      </w:pPr>
    </w:p>
    <w:p w14:paraId="72B76153" w14:textId="77777777" w:rsidR="002615AF" w:rsidRDefault="002615AF" w:rsidP="00C31FFF">
      <w:pPr>
        <w:pStyle w:val="NormalWeb"/>
        <w:spacing w:line="276" w:lineRule="auto"/>
        <w:jc w:val="both"/>
        <w:rPr>
          <w:rFonts w:ascii="Arial" w:eastAsiaTheme="minorEastAsia" w:hAnsi="Arial" w:cs="Arial"/>
          <w:b/>
          <w:bCs/>
          <w:color w:val="000000" w:themeColor="text1"/>
          <w:sz w:val="22"/>
          <w:szCs w:val="22"/>
          <w:lang w:val="ro-RO"/>
        </w:rPr>
      </w:pPr>
    </w:p>
    <w:p w14:paraId="18AE293A" w14:textId="6499935E" w:rsidR="00C31FFF" w:rsidRPr="00C31FFF" w:rsidRDefault="00C31FFF" w:rsidP="00C31FFF">
      <w:pPr>
        <w:pStyle w:val="NormalWeb"/>
        <w:spacing w:line="276" w:lineRule="auto"/>
        <w:jc w:val="both"/>
        <w:rPr>
          <w:rFonts w:ascii="Arial" w:eastAsiaTheme="minorEastAsia" w:hAnsi="Arial" w:cs="Arial"/>
          <w:b/>
          <w:bCs/>
          <w:color w:val="000000" w:themeColor="text1"/>
          <w:sz w:val="22"/>
          <w:szCs w:val="22"/>
          <w:lang w:val="ro-RO"/>
        </w:rPr>
      </w:pPr>
      <w:r w:rsidRPr="00C31FFF">
        <w:rPr>
          <w:rFonts w:ascii="Arial" w:eastAsiaTheme="minorEastAsia" w:hAnsi="Arial" w:cs="Arial"/>
          <w:b/>
          <w:bCs/>
          <w:color w:val="000000" w:themeColor="text1"/>
          <w:sz w:val="22"/>
          <w:szCs w:val="22"/>
          <w:lang w:val="ro-RO"/>
        </w:rPr>
        <w:lastRenderedPageBreak/>
        <w:t>Anexa A</w:t>
      </w:r>
    </w:p>
    <w:tbl>
      <w:tblPr>
        <w:tblStyle w:val="TableGrid"/>
        <w:tblW w:w="0" w:type="auto"/>
        <w:tblLook w:val="04A0" w:firstRow="1" w:lastRow="0" w:firstColumn="1" w:lastColumn="0" w:noHBand="0" w:noVBand="1"/>
      </w:tblPr>
      <w:tblGrid>
        <w:gridCol w:w="9350"/>
      </w:tblGrid>
      <w:tr w:rsidR="00C31FFF" w:rsidRPr="00C31FFF" w14:paraId="7C68F80D" w14:textId="77777777" w:rsidTr="00C31FFF">
        <w:tc>
          <w:tcPr>
            <w:tcW w:w="9350" w:type="dxa"/>
          </w:tcPr>
          <w:p w14:paraId="5CBA9167" w14:textId="77777777" w:rsidR="00C31FFF" w:rsidRPr="00C31FFF" w:rsidRDefault="00C31FFF" w:rsidP="00A8072E">
            <w:pPr>
              <w:pStyle w:val="NormalWeb"/>
              <w:spacing w:line="276" w:lineRule="auto"/>
              <w:jc w:val="both"/>
              <w:rPr>
                <w:rFonts w:ascii="Arial" w:eastAsiaTheme="minorEastAsia" w:hAnsi="Arial" w:cs="Arial"/>
                <w:b/>
                <w:bCs/>
                <w:color w:val="000000" w:themeColor="text1"/>
                <w:sz w:val="22"/>
                <w:szCs w:val="22"/>
                <w:lang w:val="ro-RO"/>
              </w:rPr>
            </w:pPr>
            <w:r w:rsidRPr="00C31FFF">
              <w:rPr>
                <w:rFonts w:ascii="Arial" w:eastAsiaTheme="minorEastAsia" w:hAnsi="Arial" w:cs="Arial"/>
                <w:b/>
                <w:bCs/>
                <w:color w:val="000000" w:themeColor="text1"/>
                <w:sz w:val="22"/>
                <w:szCs w:val="22"/>
                <w:lang w:val="ro-RO"/>
              </w:rPr>
              <w:t>Alocarea</w:t>
            </w:r>
          </w:p>
        </w:tc>
      </w:tr>
    </w:tbl>
    <w:p w14:paraId="2B82E8DE" w14:textId="77777777"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b/>
          <w:bCs/>
          <w:color w:val="000000" w:themeColor="text1"/>
          <w:sz w:val="22"/>
          <w:szCs w:val="22"/>
          <w:lang w:val="ro-RO"/>
        </w:rPr>
        <w:t>Moneda.</w:t>
      </w:r>
      <w:r w:rsidRPr="00C31FFF">
        <w:rPr>
          <w:rFonts w:ascii="Arial" w:eastAsiaTheme="minorEastAsia" w:hAnsi="Arial" w:cs="Arial"/>
          <w:color w:val="000000" w:themeColor="text1"/>
          <w:sz w:val="22"/>
          <w:szCs w:val="22"/>
          <w:lang w:val="ro-RO"/>
        </w:rPr>
        <w:t xml:space="preserve"> Alocarea pentru Moldova este denominată în euro. Alocările Fondului Global pot fi denominate doar în euro sau dolari SUA. Dacă doriți să discutați o posibilă schimbare a monedei pentru următoarea perioadă de alocare, vă rugăm să informați Managerul Portofoliului de Țară până la data de 15 aprilie 2026.</w:t>
      </w:r>
    </w:p>
    <w:p w14:paraId="582C5E8B" w14:textId="31CD01B6"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b/>
          <w:bCs/>
          <w:color w:val="000000" w:themeColor="text1"/>
          <w:sz w:val="22"/>
          <w:szCs w:val="22"/>
          <w:lang w:val="ro-RO"/>
        </w:rPr>
        <w:t>Conversia finanțării donatorilor.</w:t>
      </w:r>
      <w:r w:rsidRPr="00C31FFF">
        <w:rPr>
          <w:rFonts w:ascii="Arial" w:eastAsiaTheme="minorEastAsia" w:hAnsi="Arial" w:cs="Arial"/>
          <w:color w:val="000000" w:themeColor="text1"/>
          <w:sz w:val="22"/>
          <w:szCs w:val="22"/>
          <w:lang w:val="ro-RO"/>
        </w:rPr>
        <w:t xml:space="preserve"> Alocarea GC8 a fost stabilită ținând cont de angajamentele financiare anunțate pentru GC8, ajustate corespunzător. Aceasta reprezintă suma alocată în mod orientativ țării dumneavoastră pentru a permite pregătirea în timp util a unor cereri de finanțare solide și de calitate. În cazul în care riscurile legate de angajamentele financiare vor necesita ajustări suplimentare ale surselor de finanțare, având în vedere contextul actual al finanțării externe, este posibil ca o parte din suma alocată să nu se materializeze. Într-un astfel de scenariu, CCM, Recipientul/</w:t>
      </w:r>
      <w:proofErr w:type="spellStart"/>
      <w:r w:rsidRPr="00C31FFF">
        <w:rPr>
          <w:rFonts w:ascii="Arial" w:eastAsiaTheme="minorEastAsia" w:hAnsi="Arial" w:cs="Arial"/>
          <w:color w:val="000000" w:themeColor="text1"/>
          <w:sz w:val="22"/>
          <w:szCs w:val="22"/>
          <w:lang w:val="ro-RO"/>
        </w:rPr>
        <w:t>Recipien</w:t>
      </w:r>
      <w:r w:rsidR="00A84827">
        <w:rPr>
          <w:rFonts w:ascii="Arial" w:eastAsiaTheme="minorEastAsia" w:hAnsi="Arial" w:cs="Arial"/>
          <w:color w:val="000000" w:themeColor="text1"/>
          <w:sz w:val="22"/>
          <w:szCs w:val="22"/>
          <w:lang w:val="ro-RO"/>
        </w:rPr>
        <w:t>ț</w:t>
      </w:r>
      <w:r w:rsidRPr="00C31FFF">
        <w:rPr>
          <w:rFonts w:ascii="Arial" w:eastAsiaTheme="minorEastAsia" w:hAnsi="Arial" w:cs="Arial"/>
          <w:color w:val="000000" w:themeColor="text1"/>
          <w:sz w:val="22"/>
          <w:szCs w:val="22"/>
          <w:lang w:val="ro-RO"/>
        </w:rPr>
        <w:t>ii</w:t>
      </w:r>
      <w:proofErr w:type="spellEnd"/>
      <w:r w:rsidRPr="00C31FFF">
        <w:rPr>
          <w:rFonts w:ascii="Arial" w:eastAsiaTheme="minorEastAsia" w:hAnsi="Arial" w:cs="Arial"/>
          <w:color w:val="000000" w:themeColor="text1"/>
          <w:sz w:val="22"/>
          <w:szCs w:val="22"/>
          <w:lang w:val="ro-RO"/>
        </w:rPr>
        <w:t xml:space="preserve"> Principali și Fondul Global vor colabora pentru a operaționaliza orice modificări necesare în structura programului de grant ca urmare a reducerii alocării.</w:t>
      </w:r>
    </w:p>
    <w:p w14:paraId="3933E8CB" w14:textId="6DC7E2E6"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b/>
          <w:bCs/>
          <w:color w:val="000000" w:themeColor="text1"/>
          <w:sz w:val="22"/>
          <w:szCs w:val="22"/>
          <w:lang w:val="ro-RO"/>
        </w:rPr>
        <w:t>Perioada.</w:t>
      </w:r>
      <w:r w:rsidRPr="00C31FFF">
        <w:rPr>
          <w:rFonts w:ascii="Arial" w:eastAsiaTheme="minorEastAsia" w:hAnsi="Arial" w:cs="Arial"/>
          <w:color w:val="000000" w:themeColor="text1"/>
          <w:sz w:val="22"/>
          <w:szCs w:val="22"/>
          <w:lang w:val="ro-RO"/>
        </w:rPr>
        <w:t xml:space="preserve"> Alocarea pentru fiecare componentă de boală poate fi utilizată în perioada relevantă de utilizare a alocării</w:t>
      </w:r>
      <w:r w:rsidR="002615AF">
        <w:rPr>
          <w:rStyle w:val="FootnoteReference"/>
          <w:rFonts w:ascii="Arial" w:eastAsiaTheme="minorEastAsia" w:hAnsi="Arial" w:cs="Arial"/>
          <w:color w:val="000000" w:themeColor="text1"/>
          <w:sz w:val="22"/>
          <w:szCs w:val="22"/>
          <w:lang w:val="ro-RO"/>
        </w:rPr>
        <w:footnoteReference w:id="10"/>
      </w:r>
      <w:r w:rsidRPr="00C31FFF">
        <w:rPr>
          <w:rFonts w:ascii="Arial" w:eastAsiaTheme="minorEastAsia" w:hAnsi="Arial" w:cs="Arial"/>
          <w:color w:val="000000" w:themeColor="text1"/>
          <w:sz w:val="22"/>
          <w:szCs w:val="22"/>
          <w:lang w:val="ro-RO"/>
        </w:rPr>
        <w:t>. Orice fonduri rămase dintr-o alocare anterioară pentru HIV sau TB, care nu au fost utilizate până la începutul perioadei indicate de utilizare a alocării, nu vor fi considerate suplimentare față de alocarea GC8</w:t>
      </w:r>
      <w:r w:rsidR="002615AF">
        <w:rPr>
          <w:rStyle w:val="FootnoteReference"/>
          <w:rFonts w:ascii="Arial" w:eastAsiaTheme="minorEastAsia" w:hAnsi="Arial" w:cs="Arial"/>
          <w:color w:val="000000" w:themeColor="text1"/>
          <w:sz w:val="22"/>
          <w:szCs w:val="22"/>
          <w:lang w:val="ro-RO"/>
        </w:rPr>
        <w:footnoteReference w:id="11"/>
      </w:r>
      <w:r w:rsidRPr="00C31FFF">
        <w:rPr>
          <w:rFonts w:ascii="Arial" w:eastAsiaTheme="minorEastAsia" w:hAnsi="Arial" w:cs="Arial"/>
          <w:color w:val="000000" w:themeColor="text1"/>
          <w:sz w:val="22"/>
          <w:szCs w:val="22"/>
          <w:lang w:val="ro-RO"/>
        </w:rPr>
        <w:t>.</w:t>
      </w:r>
    </w:p>
    <w:p w14:paraId="1776759C" w14:textId="77777777"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b/>
          <w:bCs/>
          <w:color w:val="000000" w:themeColor="text1"/>
          <w:sz w:val="22"/>
          <w:szCs w:val="22"/>
          <w:lang w:val="ro-RO"/>
        </w:rPr>
        <w:t>Distribuirea programatică a fondurilor.</w:t>
      </w:r>
      <w:r w:rsidRPr="00C31FFF">
        <w:rPr>
          <w:rFonts w:ascii="Arial" w:eastAsiaTheme="minorEastAsia" w:hAnsi="Arial" w:cs="Arial"/>
          <w:color w:val="000000" w:themeColor="text1"/>
          <w:sz w:val="22"/>
          <w:szCs w:val="22"/>
          <w:lang w:val="ro-RO"/>
        </w:rPr>
        <w:t xml:space="preserve"> Fondul Global a propus o distribuire orientativă a fondurilor alocate între componentele eligibile de boală. Totuși, CCM este responsabil pentru evaluarea și propunerea celei mai adecvate utilizări a fondurilor între aceste componente de boală și RSSH. Solicitanții pot alege să accepte distribuirea propusă de Fondul Global sau să propună o distribuire revizuită, bazată pe o analiză fundamentată pe dovezi a lacunelor programatice, ținând cont de finanțarea necesară pentru menținerea programelor esențiale și pentru a ajunge la persoanele cele mai afectate de HIV și/sau TB. Orice modificare propusă a distribuirii programatice trebuie aprobată de Fondul Global înainte de evaluarea cererii de finanțare.</w:t>
      </w:r>
    </w:p>
    <w:tbl>
      <w:tblPr>
        <w:tblStyle w:val="TableGrid"/>
        <w:tblW w:w="0" w:type="auto"/>
        <w:tblLook w:val="04A0" w:firstRow="1" w:lastRow="0" w:firstColumn="1" w:lastColumn="0" w:noHBand="0" w:noVBand="1"/>
      </w:tblPr>
      <w:tblGrid>
        <w:gridCol w:w="9350"/>
      </w:tblGrid>
      <w:tr w:rsidR="00C31FFF" w:rsidRPr="00C31FFF" w14:paraId="18341FFA" w14:textId="77777777" w:rsidTr="00C31FFF">
        <w:tc>
          <w:tcPr>
            <w:tcW w:w="9350" w:type="dxa"/>
          </w:tcPr>
          <w:p w14:paraId="5F5698E3" w14:textId="77777777" w:rsidR="00C31FFF" w:rsidRPr="00C31FFF" w:rsidRDefault="00C31FFF" w:rsidP="007E3222">
            <w:pPr>
              <w:pStyle w:val="NormalWeb"/>
              <w:spacing w:line="276" w:lineRule="auto"/>
              <w:jc w:val="both"/>
              <w:rPr>
                <w:rFonts w:ascii="Arial" w:eastAsiaTheme="minorEastAsia" w:hAnsi="Arial" w:cs="Arial"/>
                <w:b/>
                <w:bCs/>
                <w:color w:val="000000" w:themeColor="text1"/>
                <w:sz w:val="22"/>
                <w:szCs w:val="22"/>
                <w:lang w:val="ro-RO"/>
              </w:rPr>
            </w:pPr>
            <w:r w:rsidRPr="00C31FFF">
              <w:rPr>
                <w:rFonts w:ascii="Arial" w:eastAsiaTheme="minorEastAsia" w:hAnsi="Arial" w:cs="Arial"/>
                <w:b/>
                <w:bCs/>
                <w:color w:val="000000" w:themeColor="text1"/>
                <w:sz w:val="22"/>
                <w:szCs w:val="22"/>
                <w:lang w:val="ro-RO"/>
              </w:rPr>
              <w:t>Abordarea cererii de finanțare</w:t>
            </w:r>
          </w:p>
        </w:tc>
      </w:tr>
    </w:tbl>
    <w:p w14:paraId="015718A4" w14:textId="1A994160"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Moldova este invitată să își prezinte cererea de finanțare utilizând formatul Tailored for Transition (Focused). Un set complet de materiale pentru aplicare va fi pus la dispoziție prin Portalul Partenerilor al Fondului Global</w:t>
      </w:r>
      <w:r w:rsidR="002615AF">
        <w:rPr>
          <w:rStyle w:val="FootnoteReference"/>
          <w:rFonts w:ascii="Arial" w:eastAsiaTheme="minorEastAsia" w:hAnsi="Arial" w:cs="Arial"/>
          <w:color w:val="000000" w:themeColor="text1"/>
          <w:sz w:val="22"/>
          <w:szCs w:val="22"/>
          <w:lang w:val="ro-RO"/>
        </w:rPr>
        <w:footnoteReference w:id="12"/>
      </w:r>
      <w:r w:rsidRPr="00C31FFF">
        <w:rPr>
          <w:rFonts w:ascii="Arial" w:eastAsiaTheme="minorEastAsia" w:hAnsi="Arial" w:cs="Arial"/>
          <w:color w:val="000000" w:themeColor="text1"/>
          <w:sz w:val="22"/>
          <w:szCs w:val="22"/>
          <w:lang w:val="ro-RO"/>
        </w:rPr>
        <w:t>. Solicitanții vor trebui să își actualizeze datele entității de grant pentru a accesa Portalul.</w:t>
      </w:r>
    </w:p>
    <w:p w14:paraId="0558EEA6" w14:textId="77777777"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lastRenderedPageBreak/>
        <w:t>Pentru fiecare țară, alocarea disponibilă pentru fiecare componentă poate fi accesată o singură dată în cadrul fiecărui ciclu de grant. Cererile de finanțare pentru toate componentele eligibile trebuie prezentate în același timp și, acolo unde este posibil, se așteaptă să fie integrate într-o singură cerere de finanțare multi-componentă, pentru a optimiza investițiile și integrarea.</w:t>
      </w:r>
    </w:p>
    <w:p w14:paraId="3FC80A15" w14:textId="39C48FF2"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Toate cererile de finanțare trebuie elaborate printr-un dialog de țară incluziv și transparent, cu participarea unei game largi de părți interesate</w:t>
      </w:r>
      <w:r w:rsidR="002615AF">
        <w:rPr>
          <w:rStyle w:val="FootnoteReference"/>
          <w:rFonts w:ascii="Arial" w:eastAsiaTheme="minorEastAsia" w:hAnsi="Arial" w:cs="Arial"/>
          <w:color w:val="000000" w:themeColor="text1"/>
          <w:sz w:val="22"/>
          <w:szCs w:val="22"/>
          <w:lang w:val="ro-RO"/>
        </w:rPr>
        <w:footnoteReference w:id="13"/>
      </w:r>
      <w:r w:rsidRPr="00C31FFF">
        <w:rPr>
          <w:rFonts w:ascii="Arial" w:eastAsiaTheme="minorEastAsia" w:hAnsi="Arial" w:cs="Arial"/>
          <w:color w:val="000000" w:themeColor="text1"/>
          <w:sz w:val="22"/>
          <w:szCs w:val="22"/>
          <w:lang w:val="ro-RO"/>
        </w:rPr>
        <w:t>, inclusiv populații-cheie și populații vulnerabile.</w:t>
      </w:r>
    </w:p>
    <w:p w14:paraId="78379A4F" w14:textId="67E648B8"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O varietate de resurse pentru sprijinirea solicitanților în pregătirea cererilor de finanțare va fi disponibilă pe site-ul Fondului Global</w:t>
      </w:r>
      <w:r w:rsidR="002615AF">
        <w:rPr>
          <w:rStyle w:val="FootnoteReference"/>
          <w:rFonts w:ascii="Arial" w:eastAsiaTheme="minorEastAsia" w:hAnsi="Arial" w:cs="Arial"/>
          <w:color w:val="000000" w:themeColor="text1"/>
          <w:sz w:val="22"/>
          <w:szCs w:val="22"/>
          <w:lang w:val="ro-RO"/>
        </w:rPr>
        <w:footnoteReference w:id="14"/>
      </w:r>
      <w:r w:rsidRPr="00C31FFF">
        <w:rPr>
          <w:rFonts w:ascii="Arial" w:eastAsiaTheme="minorEastAsia" w:hAnsi="Arial" w:cs="Arial"/>
          <w:color w:val="000000" w:themeColor="text1"/>
          <w:sz w:val="22"/>
          <w:szCs w:val="22"/>
          <w:lang w:val="ro-RO"/>
        </w:rPr>
        <w:t>. Încurajăm toate persoanele implicate în pregătirea cererii de finanțare să consulte cu atenție ghidurile disponibile.</w:t>
      </w:r>
    </w:p>
    <w:tbl>
      <w:tblPr>
        <w:tblStyle w:val="TableGrid"/>
        <w:tblW w:w="0" w:type="auto"/>
        <w:tblLook w:val="04A0" w:firstRow="1" w:lastRow="0" w:firstColumn="1" w:lastColumn="0" w:noHBand="0" w:noVBand="1"/>
      </w:tblPr>
      <w:tblGrid>
        <w:gridCol w:w="9350"/>
      </w:tblGrid>
      <w:tr w:rsidR="00C31FFF" w:rsidRPr="00C31FFF" w14:paraId="1F7F2188" w14:textId="77777777" w:rsidTr="00C31FFF">
        <w:tc>
          <w:tcPr>
            <w:tcW w:w="9350" w:type="dxa"/>
          </w:tcPr>
          <w:p w14:paraId="5E773D7F" w14:textId="77777777" w:rsidR="00C31FFF" w:rsidRPr="00C31FFF" w:rsidRDefault="00C31FFF" w:rsidP="00BA3EF5">
            <w:pPr>
              <w:pStyle w:val="NormalWeb"/>
              <w:spacing w:line="276" w:lineRule="auto"/>
              <w:jc w:val="both"/>
              <w:rPr>
                <w:rFonts w:ascii="Arial" w:eastAsiaTheme="minorEastAsia" w:hAnsi="Arial" w:cs="Arial"/>
                <w:b/>
                <w:bCs/>
                <w:color w:val="000000" w:themeColor="text1"/>
                <w:sz w:val="22"/>
                <w:szCs w:val="22"/>
                <w:lang w:val="ro-RO"/>
              </w:rPr>
            </w:pPr>
            <w:r w:rsidRPr="00C31FFF">
              <w:rPr>
                <w:rFonts w:ascii="Arial" w:eastAsiaTheme="minorEastAsia" w:hAnsi="Arial" w:cs="Arial"/>
                <w:b/>
                <w:bCs/>
                <w:color w:val="000000" w:themeColor="text1"/>
                <w:sz w:val="22"/>
                <w:szCs w:val="22"/>
                <w:lang w:val="ro-RO"/>
              </w:rPr>
              <w:t>Implementare</w:t>
            </w:r>
          </w:p>
        </w:tc>
      </w:tr>
    </w:tbl>
    <w:p w14:paraId="78FCDB8B" w14:textId="77777777"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Fondul Global recunoaște importanța unei implementări eficiente și încurajează în mod activ toate țările să exploreze oportunități pentru simplificarea și consolidarea mecanismelor de implementare pentru GC8. Solicitanții ar trebui să ia în considerare modalitățile optime de furnizare a serviciilor, în funcție de contextul național, acordând atenția cuvenită organizațiilor comunitare și organizațiilor conduse de comunități.</w:t>
      </w:r>
    </w:p>
    <w:p w14:paraId="177F4C66" w14:textId="7DEFF0BD"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b/>
          <w:bCs/>
          <w:color w:val="000000" w:themeColor="text1"/>
          <w:sz w:val="22"/>
          <w:szCs w:val="22"/>
          <w:lang w:val="ro-RO"/>
        </w:rPr>
        <w:t>Modelul de portofoliu Focused.</w:t>
      </w:r>
      <w:r w:rsidRPr="00C31FFF">
        <w:rPr>
          <w:rFonts w:ascii="Arial" w:eastAsiaTheme="minorEastAsia" w:hAnsi="Arial" w:cs="Arial"/>
          <w:color w:val="000000" w:themeColor="text1"/>
          <w:sz w:val="22"/>
          <w:szCs w:val="22"/>
          <w:lang w:val="ro-RO"/>
        </w:rPr>
        <w:t xml:space="preserve"> În GC8, pentru Moldova va fi aplicat modelul Aligned, cu cerințe adaptate scopului. Informații suplimentare vor fi oferite de Echipa de Țară. Ghidul pentru acest model poate fi consultat la adresa indicată</w:t>
      </w:r>
      <w:r w:rsidR="002615AF">
        <w:rPr>
          <w:rStyle w:val="FootnoteReference"/>
          <w:rFonts w:ascii="Arial" w:eastAsiaTheme="minorEastAsia" w:hAnsi="Arial" w:cs="Arial"/>
          <w:color w:val="000000" w:themeColor="text1"/>
          <w:sz w:val="22"/>
          <w:szCs w:val="22"/>
          <w:lang w:val="ro-RO"/>
        </w:rPr>
        <w:footnoteReference w:id="15"/>
      </w:r>
      <w:r w:rsidRPr="00C31FFF">
        <w:rPr>
          <w:rFonts w:ascii="Arial" w:eastAsiaTheme="minorEastAsia" w:hAnsi="Arial" w:cs="Arial"/>
          <w:color w:val="000000" w:themeColor="text1"/>
          <w:sz w:val="22"/>
          <w:szCs w:val="22"/>
          <w:lang w:val="ro-RO"/>
        </w:rPr>
        <w:t>.</w:t>
      </w:r>
    </w:p>
    <w:tbl>
      <w:tblPr>
        <w:tblStyle w:val="TableGrid"/>
        <w:tblW w:w="0" w:type="auto"/>
        <w:tblLook w:val="04A0" w:firstRow="1" w:lastRow="0" w:firstColumn="1" w:lastColumn="0" w:noHBand="0" w:noVBand="1"/>
      </w:tblPr>
      <w:tblGrid>
        <w:gridCol w:w="9350"/>
      </w:tblGrid>
      <w:tr w:rsidR="00AE44A3" w:rsidRPr="00AE44A3" w14:paraId="36219A62" w14:textId="77777777" w:rsidTr="00AE44A3">
        <w:tc>
          <w:tcPr>
            <w:tcW w:w="9350" w:type="dxa"/>
          </w:tcPr>
          <w:p w14:paraId="0F407051" w14:textId="77777777" w:rsidR="00AE44A3" w:rsidRPr="00AE44A3" w:rsidRDefault="00AE44A3" w:rsidP="00D90347">
            <w:pPr>
              <w:pStyle w:val="NormalWeb"/>
              <w:spacing w:line="276" w:lineRule="auto"/>
              <w:jc w:val="both"/>
              <w:rPr>
                <w:rFonts w:ascii="Arial" w:eastAsiaTheme="minorEastAsia" w:hAnsi="Arial" w:cs="Arial"/>
                <w:b/>
                <w:bCs/>
                <w:color w:val="000000" w:themeColor="text1"/>
                <w:sz w:val="22"/>
                <w:szCs w:val="22"/>
                <w:lang w:val="ro-RO"/>
              </w:rPr>
            </w:pPr>
            <w:r w:rsidRPr="00AE44A3">
              <w:rPr>
                <w:rFonts w:ascii="Arial" w:eastAsiaTheme="minorEastAsia" w:hAnsi="Arial" w:cs="Arial"/>
                <w:b/>
                <w:bCs/>
                <w:color w:val="000000" w:themeColor="text1"/>
                <w:sz w:val="22"/>
                <w:szCs w:val="22"/>
                <w:lang w:val="ro-RO"/>
              </w:rPr>
              <w:t>Consolidarea sustenabilității și a impactului investițiilor</w:t>
            </w:r>
          </w:p>
        </w:tc>
      </w:tr>
    </w:tbl>
    <w:p w14:paraId="3F77576C" w14:textId="77777777"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Cerințele de cofinanțare ale Fondului Global sunt stabilite în funcție de clasificarea veniturilor unei țări și descriu modul în care țările trebuie să își asume angajamente specifice de finanțare internă pentru a accesa integral alocarea Fondului Global. Aceste cerințe urmăresc consolidarea impactului general și a sustenabilității investițiilor Fondului Global și sprijinirea unei tranziții eficiente.</w:t>
      </w:r>
    </w:p>
    <w:p w14:paraId="60619709" w14:textId="77777777"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AE44A3">
        <w:rPr>
          <w:rFonts w:ascii="Arial" w:eastAsiaTheme="minorEastAsia" w:hAnsi="Arial" w:cs="Arial"/>
          <w:b/>
          <w:bCs/>
          <w:color w:val="000000" w:themeColor="text1"/>
          <w:sz w:val="22"/>
          <w:szCs w:val="22"/>
          <w:lang w:val="ro-RO"/>
        </w:rPr>
        <w:t>Cofinanțare.</w:t>
      </w:r>
      <w:r w:rsidRPr="00C31FFF">
        <w:rPr>
          <w:rFonts w:ascii="Arial" w:eastAsiaTheme="minorEastAsia" w:hAnsi="Arial" w:cs="Arial"/>
          <w:color w:val="000000" w:themeColor="text1"/>
          <w:sz w:val="22"/>
          <w:szCs w:val="22"/>
          <w:lang w:val="ro-RO"/>
        </w:rPr>
        <w:t xml:space="preserve"> 25% din alocarea Moldovei este condiționată de cerințele de cofinanțare. Moldova trebuie să își asume angajamente de cofinanțare suficiente și bine direcționate în etapa de elaborare a grantului, în conformitate cu cerințele politicii STC. Pentru Moldova, aceste angajamente trebuie să reprezinte cel puțin 3.502.789 euro în investiții suplimentare, orientate spre finanțarea costurilor programatice relevante pentru a sprijini o tranziție eficientă și completă de la finanțarea Fondului Global până la finalul grantului de tranziție. Fondul Global va purta un </w:t>
      </w:r>
      <w:r w:rsidRPr="00C31FFF">
        <w:rPr>
          <w:rFonts w:ascii="Arial" w:eastAsiaTheme="minorEastAsia" w:hAnsi="Arial" w:cs="Arial"/>
          <w:color w:val="000000" w:themeColor="text1"/>
          <w:sz w:val="22"/>
          <w:szCs w:val="22"/>
          <w:lang w:val="ro-RO"/>
        </w:rPr>
        <w:lastRenderedPageBreak/>
        <w:t>dialog cu Moldova în cadrul proceselor de solicitare a finanțării și de elaborare a grantului pentru a conveni asupra domeniilor prioritare ale acestor angajamente.</w:t>
      </w:r>
    </w:p>
    <w:p w14:paraId="1AEC1514" w14:textId="77777777"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Având în vedere că Moldova este clasificată ca țară cu venit mediu superior, 100% din angajamentele de cofinanțare trebuie să fie orientate către activități specifice de sustenabilitate și tranziție, cu atenție acordată priorităților legate de populațiile-cheie și populațiile vulnerabile.</w:t>
      </w:r>
    </w:p>
    <w:p w14:paraId="6DF16DD0" w14:textId="77777777"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C31FFF">
        <w:rPr>
          <w:rFonts w:ascii="Arial" w:eastAsiaTheme="minorEastAsia" w:hAnsi="Arial" w:cs="Arial"/>
          <w:color w:val="000000" w:themeColor="text1"/>
          <w:sz w:val="22"/>
          <w:szCs w:val="22"/>
          <w:lang w:val="ro-RO"/>
        </w:rPr>
        <w:t>Moldova trebuie să confirme angajamentele de cofinanțare prin scrisoarea de angajament privind cofinanțarea și ulterior să prezinte dovezi ale realizării acestor angajamente din partea autorităților guvernamentale competente, inclusiv Ministerul Finanțelor și/sau alte instituții relevante. Fondul Global va colabora într-un spirit de deschidere și cooperare cu Guvernul pentru a conveni asupra unor angajamente specifice de cofinanțare care să fie în concordanță cu situația fiscală generală a Moldovei și cu contextul național și care să contribuie la consolidarea autosuficienței și sustenabilității financiare în timp.</w:t>
      </w:r>
    </w:p>
    <w:p w14:paraId="620EC4B0" w14:textId="7F1F6A9B" w:rsidR="00C31FFF" w:rsidRPr="00C31FFF" w:rsidRDefault="00C31FFF" w:rsidP="00C31FFF">
      <w:pPr>
        <w:pStyle w:val="NormalWeb"/>
        <w:spacing w:line="276" w:lineRule="auto"/>
        <w:jc w:val="both"/>
        <w:rPr>
          <w:rFonts w:ascii="Arial" w:eastAsiaTheme="minorEastAsia" w:hAnsi="Arial" w:cs="Arial"/>
          <w:color w:val="000000" w:themeColor="text1"/>
          <w:sz w:val="22"/>
          <w:szCs w:val="22"/>
          <w:lang w:val="ro-RO"/>
        </w:rPr>
      </w:pPr>
      <w:r w:rsidRPr="00AE44A3">
        <w:rPr>
          <w:rFonts w:ascii="Arial" w:eastAsiaTheme="minorEastAsia" w:hAnsi="Arial" w:cs="Arial"/>
          <w:b/>
          <w:bCs/>
          <w:color w:val="000000" w:themeColor="text1"/>
          <w:sz w:val="22"/>
          <w:szCs w:val="22"/>
          <w:lang w:val="ro-RO"/>
        </w:rPr>
        <w:t>Angajamentele anterioare de cofinanțare și finanțare internă pentru GC7.</w:t>
      </w:r>
      <w:r w:rsidRPr="00C31FFF">
        <w:rPr>
          <w:rFonts w:ascii="Arial" w:eastAsiaTheme="minorEastAsia" w:hAnsi="Arial" w:cs="Arial"/>
          <w:color w:val="000000" w:themeColor="text1"/>
          <w:sz w:val="22"/>
          <w:szCs w:val="22"/>
          <w:lang w:val="ro-RO"/>
        </w:rPr>
        <w:t xml:space="preserve"> Ne</w:t>
      </w:r>
      <w:r w:rsidR="00AE44A3">
        <w:rPr>
          <w:rFonts w:ascii="Arial" w:eastAsiaTheme="minorEastAsia" w:hAnsi="Arial" w:cs="Arial"/>
          <w:color w:val="000000" w:themeColor="text1"/>
          <w:sz w:val="22"/>
          <w:szCs w:val="22"/>
          <w:lang w:val="ro-RO"/>
        </w:rPr>
        <w:t>îndeplinirea</w:t>
      </w:r>
      <w:r w:rsidRPr="00C31FFF">
        <w:rPr>
          <w:rFonts w:ascii="Arial" w:eastAsiaTheme="minorEastAsia" w:hAnsi="Arial" w:cs="Arial"/>
          <w:color w:val="000000" w:themeColor="text1"/>
          <w:sz w:val="22"/>
          <w:szCs w:val="22"/>
          <w:lang w:val="ro-RO"/>
        </w:rPr>
        <w:t xml:space="preserve"> angajamentelor anterioare de cofinanțare din GC7 poate determina Fondul Global să reducă fondurile din granturile existente și/sau din alocarea GC8. Moldova trebuie să prezinte dovezi privind realizarea angajamentelor anterioare odată cu transmiterea cererii de finanțare. Dovezile privind cheltuielile realizate în raport cu angajamentele de creștere a cheltuielilor guvernamentale pentru sănătate, a finanțării programelor pentru boli și a cheltuielilor programatice specifice trebuie anexate cererii de finanțare și documentelor justificative.</w:t>
      </w:r>
    </w:p>
    <w:p w14:paraId="7150211D" w14:textId="75CA9787" w:rsidR="00C31FFF" w:rsidRPr="002615AF" w:rsidRDefault="00C31FFF" w:rsidP="002615AF">
      <w:pPr>
        <w:pStyle w:val="NormalWeb"/>
        <w:spacing w:line="276" w:lineRule="auto"/>
        <w:jc w:val="both"/>
        <w:rPr>
          <w:rFonts w:ascii="Arial" w:eastAsiaTheme="minorEastAsia" w:hAnsi="Arial" w:cs="Arial"/>
          <w:color w:val="000000" w:themeColor="text1"/>
          <w:sz w:val="22"/>
          <w:szCs w:val="22"/>
          <w:lang w:val="ro-RO"/>
        </w:rPr>
      </w:pPr>
      <w:r w:rsidRPr="00AE44A3">
        <w:rPr>
          <w:rFonts w:ascii="Arial" w:eastAsiaTheme="minorEastAsia" w:hAnsi="Arial" w:cs="Arial"/>
          <w:b/>
          <w:bCs/>
          <w:color w:val="000000" w:themeColor="text1"/>
          <w:sz w:val="22"/>
          <w:szCs w:val="22"/>
          <w:lang w:val="ro-RO"/>
        </w:rPr>
        <w:t>Mecanisme de achiziții.</w:t>
      </w:r>
      <w:r w:rsidRPr="00C31FFF">
        <w:rPr>
          <w:rFonts w:ascii="Arial" w:eastAsiaTheme="minorEastAsia" w:hAnsi="Arial" w:cs="Arial"/>
          <w:color w:val="000000" w:themeColor="text1"/>
          <w:sz w:val="22"/>
          <w:szCs w:val="22"/>
          <w:lang w:val="ro-RO"/>
        </w:rPr>
        <w:t xml:space="preserve"> Fondul Global încurajează ferm țările să utilizeze Mecanismul de Achiziții Comune al Fondului Global (PPM) pentru a asigura accesul continuu la produse de sănătate de calitate garantată și la prețuri accesibile, utilizând resurse din afara granturilor, fie din finanțare internă, fie din alte surse care nu provin de la Fondul Global. PPM/Wambo.org oferă un canal de achiziții fiabil și eficient care facilitează accesul la produse esențiale pentru prevenirea, diagnosticarea și tratamentul HIV și TB, inclusiv produse inovatoare nou recomandate, la prețuri competitive, printr-un proces transparent și orientat spre eficiența utilizării resurselor. Țările sunt rugate să colaboreze cu Fondul Global pentru a analiza și a soluționa eventualele provocări asociate utilizării PPM/Wambo.org cu fonduri interne sau alte surse de finanțare care nu provin de la Fondul Global. Informații suplimentare sunt disponibile pe pagina web</w:t>
      </w:r>
      <w:r w:rsidR="002615AF">
        <w:rPr>
          <w:rStyle w:val="FootnoteReference"/>
          <w:rFonts w:ascii="Arial" w:eastAsiaTheme="minorEastAsia" w:hAnsi="Arial" w:cs="Arial"/>
          <w:color w:val="000000" w:themeColor="text1"/>
          <w:sz w:val="22"/>
          <w:szCs w:val="22"/>
          <w:lang w:val="ro-RO"/>
        </w:rPr>
        <w:footnoteReference w:id="16"/>
      </w:r>
      <w:r w:rsidRPr="00C31FFF">
        <w:rPr>
          <w:rFonts w:ascii="Arial" w:eastAsiaTheme="minorEastAsia" w:hAnsi="Arial" w:cs="Arial"/>
          <w:color w:val="000000" w:themeColor="text1"/>
          <w:sz w:val="22"/>
          <w:szCs w:val="22"/>
          <w:lang w:val="ro-RO"/>
        </w:rPr>
        <w:t xml:space="preserve"> a instrumentelor de achiziții ale Fondului Global.</w:t>
      </w:r>
    </w:p>
    <w:p w14:paraId="412C3816" w14:textId="77777777" w:rsidR="00C31FFF" w:rsidRPr="00C31FFF" w:rsidRDefault="00C31FFF" w:rsidP="00C31FFF">
      <w:pPr>
        <w:jc w:val="both"/>
        <w:rPr>
          <w:rFonts w:ascii="Arial" w:hAnsi="Arial" w:cs="Arial"/>
          <w:color w:val="000000" w:themeColor="text1"/>
          <w:lang w:val="ro-RO"/>
        </w:rPr>
      </w:pPr>
    </w:p>
    <w:p w14:paraId="6C1722E3" w14:textId="77777777" w:rsidR="00C31FFF" w:rsidRPr="00C31FFF" w:rsidRDefault="00C31FFF" w:rsidP="00C31FFF">
      <w:pPr>
        <w:jc w:val="both"/>
        <w:rPr>
          <w:rFonts w:ascii="Arial" w:hAnsi="Arial" w:cs="Arial"/>
          <w:color w:val="000000" w:themeColor="text1"/>
          <w:lang w:val="ro-RO"/>
        </w:rPr>
      </w:pPr>
    </w:p>
    <w:p w14:paraId="45C33B8B" w14:textId="77777777" w:rsidR="00C31FFF" w:rsidRPr="00C31FFF" w:rsidRDefault="00C31FFF" w:rsidP="00C31FFF">
      <w:pPr>
        <w:jc w:val="both"/>
        <w:rPr>
          <w:rFonts w:ascii="Arial" w:hAnsi="Arial" w:cs="Arial"/>
          <w:color w:val="000000" w:themeColor="text1"/>
          <w:lang w:val="ro-RO"/>
        </w:rPr>
      </w:pPr>
    </w:p>
    <w:sectPr w:rsidR="00C31FFF" w:rsidRPr="00C31FF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C2C5" w14:textId="77777777" w:rsidR="00E34247" w:rsidRDefault="00E34247" w:rsidP="00717DF0">
      <w:pPr>
        <w:spacing w:after="0" w:line="240" w:lineRule="auto"/>
      </w:pPr>
      <w:r>
        <w:separator/>
      </w:r>
    </w:p>
  </w:endnote>
  <w:endnote w:type="continuationSeparator" w:id="0">
    <w:p w14:paraId="345FB37E" w14:textId="77777777" w:rsidR="00E34247" w:rsidRDefault="00E34247" w:rsidP="0071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C00F" w14:textId="77777777" w:rsidR="00E34247" w:rsidRDefault="00E34247" w:rsidP="00717DF0">
      <w:pPr>
        <w:spacing w:after="0" w:line="240" w:lineRule="auto"/>
      </w:pPr>
      <w:r>
        <w:separator/>
      </w:r>
    </w:p>
  </w:footnote>
  <w:footnote w:type="continuationSeparator" w:id="0">
    <w:p w14:paraId="471757FE" w14:textId="77777777" w:rsidR="00E34247" w:rsidRDefault="00E34247" w:rsidP="00717DF0">
      <w:pPr>
        <w:spacing w:after="0" w:line="240" w:lineRule="auto"/>
      </w:pPr>
      <w:r>
        <w:continuationSeparator/>
      </w:r>
    </w:p>
  </w:footnote>
  <w:footnote w:id="1">
    <w:p w14:paraId="321167D0" w14:textId="3F28F4F5" w:rsidR="00AE44A3" w:rsidRPr="00AE44A3" w:rsidRDefault="00AE44A3">
      <w:pPr>
        <w:pStyle w:val="FootnoteText"/>
        <w:rPr>
          <w:rFonts w:ascii="Arial" w:hAnsi="Arial" w:cs="Arial"/>
          <w:color w:val="000000" w:themeColor="text1"/>
          <w:sz w:val="18"/>
          <w:szCs w:val="18"/>
          <w:lang w:val="ro-RO"/>
        </w:rPr>
      </w:pPr>
      <w:r w:rsidRPr="00AE44A3">
        <w:rPr>
          <w:rStyle w:val="FootnoteReference"/>
          <w:rFonts w:ascii="Arial" w:hAnsi="Arial" w:cs="Arial"/>
          <w:color w:val="000000" w:themeColor="text1"/>
          <w:sz w:val="18"/>
          <w:szCs w:val="18"/>
          <w:lang w:val="ro-RO"/>
        </w:rPr>
        <w:footnoteRef/>
      </w:r>
      <w:r w:rsidRPr="00AE44A3">
        <w:rPr>
          <w:rFonts w:ascii="Arial" w:hAnsi="Arial" w:cs="Arial"/>
          <w:color w:val="000000" w:themeColor="text1"/>
          <w:sz w:val="18"/>
          <w:szCs w:val="18"/>
          <w:lang w:val="ro-RO"/>
        </w:rPr>
        <w:t xml:space="preserve"> Această scrisoare include o anexă și linkuri, care trebuie citite împreună și în întregime.</w:t>
      </w:r>
    </w:p>
  </w:footnote>
  <w:footnote w:id="2">
    <w:p w14:paraId="2DCE8772" w14:textId="534913E2" w:rsidR="00AE44A3" w:rsidRPr="00AE44A3" w:rsidRDefault="00AE44A3">
      <w:pPr>
        <w:pStyle w:val="FootnoteText"/>
        <w:rPr>
          <w:color w:val="000000" w:themeColor="text1"/>
          <w:sz w:val="18"/>
          <w:szCs w:val="18"/>
          <w:lang w:val="ro-RO"/>
        </w:rPr>
      </w:pPr>
      <w:r w:rsidRPr="00AE44A3">
        <w:rPr>
          <w:rStyle w:val="FootnoteReference"/>
          <w:color w:val="000000" w:themeColor="text1"/>
          <w:sz w:val="18"/>
          <w:szCs w:val="18"/>
        </w:rPr>
        <w:footnoteRef/>
      </w:r>
      <w:r w:rsidRPr="00AE44A3">
        <w:rPr>
          <w:color w:val="000000" w:themeColor="text1"/>
          <w:sz w:val="18"/>
          <w:szCs w:val="18"/>
          <w:lang w:val="ro-RO"/>
        </w:rPr>
        <w:t xml:space="preserve"> </w:t>
      </w:r>
      <w:r>
        <w:fldChar w:fldCharType="begin"/>
      </w:r>
      <w:r w:rsidRPr="00F47A89">
        <w:rPr>
          <w:lang w:val="ro-RO"/>
        </w:rPr>
        <w:instrText>HYPERLINK "https://resources.theglobalfund.org/en/strategic-shifts-gc8/"</w:instrText>
      </w:r>
      <w:r>
        <w:fldChar w:fldCharType="separate"/>
      </w:r>
      <w:r w:rsidRPr="00AE44A3">
        <w:rPr>
          <w:rStyle w:val="Hyperlink"/>
          <w:color w:val="000000" w:themeColor="text1"/>
          <w:sz w:val="18"/>
          <w:szCs w:val="18"/>
          <w:lang w:val="ro-RO"/>
        </w:rPr>
        <w:t>https://resources.theglobalfund.org/en/strategic-shifts-gc8/</w:t>
      </w:r>
      <w:r>
        <w:fldChar w:fldCharType="end"/>
      </w:r>
      <w:r w:rsidRPr="00AE44A3">
        <w:rPr>
          <w:color w:val="000000" w:themeColor="text1"/>
          <w:sz w:val="18"/>
          <w:szCs w:val="18"/>
          <w:lang w:val="ro-RO"/>
        </w:rPr>
        <w:t xml:space="preserve"> </w:t>
      </w:r>
    </w:p>
  </w:footnote>
  <w:footnote w:id="3">
    <w:p w14:paraId="6E69D8D7" w14:textId="6046B82B" w:rsidR="00AE44A3" w:rsidRPr="00AE44A3" w:rsidRDefault="00AE44A3">
      <w:pPr>
        <w:pStyle w:val="FootnoteText"/>
        <w:rPr>
          <w:color w:val="000000" w:themeColor="text1"/>
          <w:lang w:val="ro-RO"/>
        </w:rPr>
      </w:pPr>
      <w:r w:rsidRPr="00AE44A3">
        <w:rPr>
          <w:rStyle w:val="FootnoteReference"/>
          <w:color w:val="000000" w:themeColor="text1"/>
          <w:sz w:val="18"/>
          <w:szCs w:val="18"/>
        </w:rPr>
        <w:footnoteRef/>
      </w:r>
      <w:r w:rsidRPr="00AE44A3">
        <w:rPr>
          <w:color w:val="000000" w:themeColor="text1"/>
          <w:sz w:val="18"/>
          <w:szCs w:val="18"/>
          <w:lang w:val="ro-RO"/>
        </w:rPr>
        <w:t xml:space="preserve"> </w:t>
      </w:r>
      <w:r>
        <w:fldChar w:fldCharType="begin"/>
      </w:r>
      <w:r w:rsidRPr="00F47A89">
        <w:rPr>
          <w:lang w:val="ro-RO"/>
        </w:rPr>
        <w:instrText>HYPERLINK "https://www.theglobalfund.org/media/11612/strategy_globalfund2023-2028_narrative_en.pdf"</w:instrText>
      </w:r>
      <w:r>
        <w:fldChar w:fldCharType="separate"/>
      </w:r>
      <w:r w:rsidRPr="00AE44A3">
        <w:rPr>
          <w:rStyle w:val="Hyperlink"/>
          <w:color w:val="000000" w:themeColor="text1"/>
          <w:sz w:val="18"/>
          <w:szCs w:val="18"/>
          <w:lang w:val="ro-RO"/>
        </w:rPr>
        <w:t>https://www.theglobalfund.org/media/11612/strategy_globalfund2023-2028_narrative_en.pdf</w:t>
      </w:r>
      <w:r>
        <w:fldChar w:fldCharType="end"/>
      </w:r>
      <w:r w:rsidRPr="00AE44A3">
        <w:rPr>
          <w:color w:val="000000" w:themeColor="text1"/>
          <w:sz w:val="18"/>
          <w:szCs w:val="18"/>
          <w:lang w:val="ro-RO"/>
        </w:rPr>
        <w:t xml:space="preserve"> </w:t>
      </w:r>
    </w:p>
  </w:footnote>
  <w:footnote w:id="4">
    <w:p w14:paraId="685B6117" w14:textId="6D595B43" w:rsidR="00AE44A3" w:rsidRPr="00AE44A3" w:rsidRDefault="00AE44A3">
      <w:pPr>
        <w:pStyle w:val="FootnoteText"/>
        <w:rPr>
          <w:color w:val="000000" w:themeColor="text1"/>
          <w:sz w:val="18"/>
          <w:szCs w:val="18"/>
          <w:lang w:val="ro-RO"/>
        </w:rPr>
      </w:pPr>
      <w:r w:rsidRPr="00AE44A3">
        <w:rPr>
          <w:rStyle w:val="FootnoteReference"/>
          <w:color w:val="000000" w:themeColor="text1"/>
          <w:sz w:val="18"/>
          <w:szCs w:val="18"/>
        </w:rPr>
        <w:footnoteRef/>
      </w:r>
      <w:r w:rsidRPr="00AE44A3">
        <w:rPr>
          <w:color w:val="000000" w:themeColor="text1"/>
          <w:sz w:val="18"/>
          <w:szCs w:val="18"/>
          <w:lang w:val="ro-RO"/>
        </w:rPr>
        <w:t xml:space="preserve"> </w:t>
      </w:r>
      <w:r>
        <w:fldChar w:fldCharType="begin"/>
      </w:r>
      <w:r w:rsidRPr="00F47A89">
        <w:rPr>
          <w:lang w:val="ro-RO"/>
        </w:rPr>
        <w:instrText>HYPERLINK "https://www.theglobalfund.org/media/14383/core_sustainability-transition-cofinancing_policy_en.pdf"</w:instrText>
      </w:r>
      <w:r>
        <w:fldChar w:fldCharType="separate"/>
      </w:r>
      <w:r w:rsidRPr="00AE44A3">
        <w:rPr>
          <w:rStyle w:val="Hyperlink"/>
          <w:color w:val="000000" w:themeColor="text1"/>
          <w:sz w:val="18"/>
          <w:szCs w:val="18"/>
          <w:lang w:val="ro-RO"/>
        </w:rPr>
        <w:t>https://www.theglobalfund.org/media/14383/core_sustainability-transition-cofinancing_policy_en.pdf</w:t>
      </w:r>
      <w:r>
        <w:fldChar w:fldCharType="end"/>
      </w:r>
      <w:r w:rsidRPr="00AE44A3">
        <w:rPr>
          <w:color w:val="000000" w:themeColor="text1"/>
          <w:sz w:val="18"/>
          <w:szCs w:val="18"/>
          <w:lang w:val="ro-RO"/>
        </w:rPr>
        <w:t xml:space="preserve"> </w:t>
      </w:r>
    </w:p>
  </w:footnote>
  <w:footnote w:id="5">
    <w:p w14:paraId="167359C0" w14:textId="29B2F2C0" w:rsidR="00AE44A3" w:rsidRPr="00AE44A3" w:rsidRDefault="00AE44A3">
      <w:pPr>
        <w:pStyle w:val="FootnoteText"/>
        <w:rPr>
          <w:color w:val="000000" w:themeColor="text1"/>
          <w:lang w:val="ro-RO"/>
        </w:rPr>
      </w:pPr>
      <w:r w:rsidRPr="00AE44A3">
        <w:rPr>
          <w:rStyle w:val="FootnoteReference"/>
          <w:color w:val="000000" w:themeColor="text1"/>
          <w:sz w:val="18"/>
          <w:szCs w:val="18"/>
        </w:rPr>
        <w:footnoteRef/>
      </w:r>
      <w:r w:rsidRPr="00AE44A3">
        <w:rPr>
          <w:color w:val="000000" w:themeColor="text1"/>
          <w:sz w:val="18"/>
          <w:szCs w:val="18"/>
          <w:lang w:val="ro-RO"/>
        </w:rPr>
        <w:t xml:space="preserve"> </w:t>
      </w:r>
      <w:r>
        <w:fldChar w:fldCharType="begin"/>
      </w:r>
      <w:r w:rsidRPr="00F47A89">
        <w:rPr>
          <w:lang w:val="ro-RO"/>
        </w:rPr>
        <w:instrText>HYPERLINK "https://resources.theglobalfund.org/en/technical-guidance/"</w:instrText>
      </w:r>
      <w:r>
        <w:fldChar w:fldCharType="separate"/>
      </w:r>
      <w:r w:rsidRPr="00AE44A3">
        <w:rPr>
          <w:rStyle w:val="Hyperlink"/>
          <w:color w:val="000000" w:themeColor="text1"/>
          <w:sz w:val="18"/>
          <w:szCs w:val="18"/>
          <w:lang w:val="ro-RO"/>
        </w:rPr>
        <w:t>https://resources.theglobalfund.org/en/technical-guidance/</w:t>
      </w:r>
      <w:r>
        <w:fldChar w:fldCharType="end"/>
      </w:r>
      <w:r w:rsidRPr="00AE44A3">
        <w:rPr>
          <w:color w:val="000000" w:themeColor="text1"/>
          <w:sz w:val="18"/>
          <w:szCs w:val="18"/>
          <w:lang w:val="ro-RO"/>
        </w:rPr>
        <w:t xml:space="preserve"> </w:t>
      </w:r>
    </w:p>
  </w:footnote>
  <w:footnote w:id="6">
    <w:p w14:paraId="259A5ADE" w14:textId="3D25D823" w:rsidR="00AE44A3" w:rsidRPr="00AE44A3" w:rsidRDefault="00AE44A3">
      <w:pPr>
        <w:pStyle w:val="FootnoteText"/>
        <w:rPr>
          <w:color w:val="000000" w:themeColor="text1"/>
          <w:sz w:val="18"/>
          <w:szCs w:val="18"/>
          <w:lang w:val="ro-RO"/>
        </w:rPr>
      </w:pPr>
      <w:r w:rsidRPr="00AE44A3">
        <w:rPr>
          <w:rStyle w:val="FootnoteReference"/>
          <w:color w:val="000000" w:themeColor="text1"/>
        </w:rPr>
        <w:footnoteRef/>
      </w:r>
      <w:r w:rsidRPr="00AE44A3">
        <w:rPr>
          <w:color w:val="000000" w:themeColor="text1"/>
          <w:lang w:val="ro-RO"/>
        </w:rPr>
        <w:t xml:space="preserve"> </w:t>
      </w:r>
      <w:r>
        <w:fldChar w:fldCharType="begin"/>
      </w:r>
      <w:r w:rsidRPr="00F47A89">
        <w:rPr>
          <w:lang w:val="ro-RO"/>
        </w:rPr>
        <w:instrText>HYPERLINK "https://www.theglobalfund.org/media/7421/ccm_countrycoordinatingmechanism_policy_en.pdf"</w:instrText>
      </w:r>
      <w:r>
        <w:fldChar w:fldCharType="separate"/>
      </w:r>
      <w:r w:rsidRPr="00AE44A3">
        <w:rPr>
          <w:rStyle w:val="Hyperlink"/>
          <w:color w:val="000000" w:themeColor="text1"/>
          <w:sz w:val="18"/>
          <w:szCs w:val="18"/>
          <w:lang w:val="ro-RO"/>
        </w:rPr>
        <w:t>https://www.theglobalfund.org/media/7421/ccm_countrycoordinatingmechanism_policy_en.pdf</w:t>
      </w:r>
      <w:r>
        <w:fldChar w:fldCharType="end"/>
      </w:r>
      <w:r w:rsidRPr="00AE44A3">
        <w:rPr>
          <w:color w:val="000000" w:themeColor="text1"/>
          <w:sz w:val="18"/>
          <w:szCs w:val="18"/>
          <w:lang w:val="ro-RO"/>
        </w:rPr>
        <w:t xml:space="preserve"> </w:t>
      </w:r>
    </w:p>
  </w:footnote>
  <w:footnote w:id="7">
    <w:p w14:paraId="2627B11F" w14:textId="7E9A33DF" w:rsidR="00AE44A3" w:rsidRPr="00AE44A3" w:rsidRDefault="00AE44A3">
      <w:pPr>
        <w:pStyle w:val="FootnoteText"/>
        <w:rPr>
          <w:color w:val="000000" w:themeColor="text1"/>
          <w:sz w:val="18"/>
          <w:szCs w:val="18"/>
          <w:lang w:val="ro-RO"/>
        </w:rPr>
      </w:pPr>
      <w:r w:rsidRPr="00AE44A3">
        <w:rPr>
          <w:rStyle w:val="FootnoteReference"/>
          <w:color w:val="000000" w:themeColor="text1"/>
          <w:sz w:val="18"/>
          <w:szCs w:val="18"/>
          <w:lang w:val="ro-RO"/>
        </w:rPr>
        <w:footnoteRef/>
      </w:r>
      <w:r w:rsidRPr="00AE44A3">
        <w:rPr>
          <w:color w:val="000000" w:themeColor="text1"/>
          <w:sz w:val="18"/>
          <w:szCs w:val="18"/>
          <w:lang w:val="ro-RO"/>
        </w:rPr>
        <w:t xml:space="preserve"> </w:t>
      </w:r>
      <w:r w:rsidRPr="00AE44A3">
        <w:rPr>
          <w:rFonts w:ascii="Arial" w:hAnsi="Arial" w:cs="Arial"/>
          <w:color w:val="000000" w:themeColor="text1"/>
          <w:sz w:val="18"/>
          <w:szCs w:val="18"/>
          <w:lang w:val="ro-RO"/>
        </w:rPr>
        <w:t>Sau alte documente ale aplicației.</w:t>
      </w:r>
    </w:p>
  </w:footnote>
  <w:footnote w:id="8">
    <w:p w14:paraId="558120DE" w14:textId="37862BB4" w:rsidR="00AE44A3" w:rsidRPr="00AE44A3" w:rsidRDefault="00AE44A3">
      <w:pPr>
        <w:pStyle w:val="FootnoteText"/>
        <w:rPr>
          <w:color w:val="000000" w:themeColor="text1"/>
          <w:lang w:val="ro-RO"/>
        </w:rPr>
      </w:pPr>
      <w:r w:rsidRPr="00AE44A3">
        <w:rPr>
          <w:rStyle w:val="FootnoteReference"/>
          <w:color w:val="000000" w:themeColor="text1"/>
          <w:sz w:val="18"/>
          <w:szCs w:val="18"/>
          <w:lang w:val="ro-RO"/>
        </w:rPr>
        <w:footnoteRef/>
      </w:r>
      <w:r w:rsidRPr="00AE44A3">
        <w:rPr>
          <w:color w:val="000000" w:themeColor="text1"/>
          <w:sz w:val="18"/>
          <w:szCs w:val="18"/>
          <w:lang w:val="ro-RO"/>
        </w:rPr>
        <w:t xml:space="preserve"> </w:t>
      </w:r>
      <w:r w:rsidRPr="00AE44A3">
        <w:rPr>
          <w:rFonts w:ascii="Arial" w:hAnsi="Arial" w:cs="Arial"/>
          <w:color w:val="000000" w:themeColor="text1"/>
          <w:sz w:val="18"/>
          <w:szCs w:val="18"/>
          <w:lang w:val="ro-RO"/>
        </w:rPr>
        <w:t>Stabilit pe baza venitului național brut (VNB) pe cap de locuitor, utilizând pragurile de clasificare a grupurilor de venit ale Băncii Mondiale pentru anul 2025.</w:t>
      </w:r>
    </w:p>
  </w:footnote>
  <w:footnote w:id="9">
    <w:p w14:paraId="1ABF5CE9" w14:textId="62BA50A2" w:rsidR="002615AF" w:rsidRPr="002615AF" w:rsidRDefault="002615AF">
      <w:pPr>
        <w:pStyle w:val="FootnoteText"/>
        <w:rPr>
          <w:lang w:val="ro-RO"/>
        </w:rPr>
      </w:pPr>
      <w:r>
        <w:rPr>
          <w:rStyle w:val="FootnoteReference"/>
        </w:rPr>
        <w:footnoteRef/>
      </w:r>
      <w:r w:rsidRPr="002615AF">
        <w:rPr>
          <w:lang w:val="ro-RO"/>
        </w:rPr>
        <w:t xml:space="preserve"> </w:t>
      </w:r>
      <w:r>
        <w:fldChar w:fldCharType="begin"/>
      </w:r>
      <w:r w:rsidRPr="00F47A89">
        <w:rPr>
          <w:lang w:val="ro-RO"/>
        </w:rPr>
        <w:instrText>HYPERLINK "https://resources.theglobalfund.org/en/technical-guidance/"</w:instrText>
      </w:r>
      <w:r>
        <w:fldChar w:fldCharType="separate"/>
      </w:r>
      <w:r w:rsidRPr="00040326">
        <w:rPr>
          <w:rStyle w:val="Hyperlink"/>
          <w:rFonts w:ascii="Arial" w:hAnsi="Arial" w:cs="Arial"/>
          <w:sz w:val="18"/>
          <w:szCs w:val="18"/>
          <w:lang w:val="ro-RO"/>
        </w:rPr>
        <w:t>https://resources.theglobalfund.org/en/technical-guidance/</w:t>
      </w:r>
      <w:r>
        <w:fldChar w:fldCharType="end"/>
      </w:r>
      <w:r>
        <w:rPr>
          <w:rFonts w:ascii="Arial" w:hAnsi="Arial" w:cs="Arial"/>
          <w:sz w:val="18"/>
          <w:szCs w:val="18"/>
          <w:lang w:val="ro-RO"/>
        </w:rPr>
        <w:t xml:space="preserve"> </w:t>
      </w:r>
    </w:p>
  </w:footnote>
  <w:footnote w:id="10">
    <w:p w14:paraId="0CB8B76F" w14:textId="351C0661" w:rsidR="002615AF" w:rsidRPr="002615AF" w:rsidRDefault="002615AF">
      <w:pPr>
        <w:pStyle w:val="FootnoteText"/>
        <w:rPr>
          <w:rFonts w:ascii="Arial" w:hAnsi="Arial" w:cs="Arial"/>
          <w:color w:val="000000" w:themeColor="text1"/>
          <w:sz w:val="18"/>
          <w:szCs w:val="18"/>
          <w:lang w:val="ro-RO"/>
        </w:rPr>
      </w:pPr>
      <w:r w:rsidRPr="002615AF">
        <w:rPr>
          <w:rStyle w:val="FootnoteReference"/>
          <w:rFonts w:ascii="Arial" w:hAnsi="Arial" w:cs="Arial"/>
          <w:color w:val="000000" w:themeColor="text1"/>
          <w:sz w:val="18"/>
          <w:szCs w:val="18"/>
          <w:lang w:val="ro-RO"/>
        </w:rPr>
        <w:footnoteRef/>
      </w:r>
      <w:r w:rsidRPr="002615AF">
        <w:rPr>
          <w:rFonts w:ascii="Arial" w:hAnsi="Arial" w:cs="Arial"/>
          <w:color w:val="000000" w:themeColor="text1"/>
          <w:sz w:val="18"/>
          <w:szCs w:val="18"/>
          <w:lang w:val="ro-RO"/>
        </w:rPr>
        <w:t xml:space="preserve"> A se vedea Tabelul 1 din prezenta scrisoare.</w:t>
      </w:r>
    </w:p>
  </w:footnote>
  <w:footnote w:id="11">
    <w:p w14:paraId="28587895" w14:textId="469F3676" w:rsidR="002615AF" w:rsidRPr="002615AF" w:rsidRDefault="002615AF">
      <w:pPr>
        <w:pStyle w:val="FootnoteText"/>
        <w:rPr>
          <w:lang w:val="ro-RO"/>
        </w:rPr>
      </w:pPr>
      <w:r>
        <w:rPr>
          <w:rStyle w:val="FootnoteReference"/>
        </w:rPr>
        <w:footnoteRef/>
      </w:r>
      <w:r>
        <w:t xml:space="preserve"> </w:t>
      </w:r>
      <w:r w:rsidRPr="002615AF">
        <w:rPr>
          <w:rFonts w:ascii="Arial" w:hAnsi="Arial" w:cs="Arial"/>
          <w:color w:val="000000" w:themeColor="text1"/>
          <w:sz w:val="18"/>
          <w:szCs w:val="18"/>
          <w:lang w:val="ro-RO"/>
        </w:rPr>
        <w:t>Orice extindere a unui grant existent utilizând alocarea pentru HIV sau TB va fi dedusă din perioada ulterioară de utilizare a alocării, atât în ceea ce privește durata, cât și fondurile utilizate în perioada de extindere.</w:t>
      </w:r>
    </w:p>
  </w:footnote>
  <w:footnote w:id="12">
    <w:p w14:paraId="046DCABB" w14:textId="4A4CB882" w:rsidR="002615AF" w:rsidRPr="002615AF" w:rsidRDefault="002615AF">
      <w:pPr>
        <w:pStyle w:val="FootnoteText"/>
        <w:rPr>
          <w:lang w:val="ro-RO"/>
        </w:rPr>
      </w:pPr>
      <w:r>
        <w:rPr>
          <w:rStyle w:val="FootnoteReference"/>
        </w:rPr>
        <w:footnoteRef/>
      </w:r>
      <w:r w:rsidRPr="002615AF">
        <w:rPr>
          <w:lang w:val="ro-RO"/>
        </w:rPr>
        <w:t xml:space="preserve"> </w:t>
      </w:r>
      <w:r>
        <w:fldChar w:fldCharType="begin"/>
      </w:r>
      <w:r w:rsidRPr="00F47A89">
        <w:rPr>
          <w:lang w:val="ro-RO"/>
        </w:rPr>
        <w:instrText>HYPERLINK "https://resources.theglobalfund.org/en/grant-life-cycle/applying-for-funding/submission/"</w:instrText>
      </w:r>
      <w:r>
        <w:fldChar w:fldCharType="separate"/>
      </w:r>
      <w:r w:rsidRPr="002615AF">
        <w:rPr>
          <w:rStyle w:val="Hyperlink"/>
          <w:rFonts w:ascii="Arial" w:hAnsi="Arial" w:cs="Arial"/>
          <w:sz w:val="18"/>
          <w:szCs w:val="18"/>
          <w:lang w:val="ro-RO"/>
        </w:rPr>
        <w:t>https://resources.theglobalfund.org/en/grant-life-cycle/applying-for-funding/submission/</w:t>
      </w:r>
      <w:r>
        <w:fldChar w:fldCharType="end"/>
      </w:r>
      <w:r w:rsidRPr="002615AF">
        <w:rPr>
          <w:rFonts w:ascii="Arial" w:hAnsi="Arial" w:cs="Arial"/>
          <w:sz w:val="18"/>
          <w:szCs w:val="18"/>
          <w:lang w:val="ro-RO"/>
        </w:rPr>
        <w:t xml:space="preserve"> </w:t>
      </w:r>
    </w:p>
  </w:footnote>
  <w:footnote w:id="13">
    <w:p w14:paraId="44D315EC" w14:textId="076937B9" w:rsidR="002615AF" w:rsidRPr="002615AF" w:rsidRDefault="002615AF">
      <w:pPr>
        <w:pStyle w:val="FootnoteText"/>
        <w:rPr>
          <w:lang w:val="ro-RO"/>
        </w:rPr>
      </w:pPr>
      <w:r>
        <w:rPr>
          <w:rStyle w:val="FootnoteReference"/>
        </w:rPr>
        <w:footnoteRef/>
      </w:r>
      <w:r>
        <w:t xml:space="preserve"> </w:t>
      </w:r>
      <w:r w:rsidRPr="002615AF">
        <w:rPr>
          <w:rFonts w:ascii="Arial" w:hAnsi="Arial" w:cs="Arial"/>
          <w:color w:val="000000" w:themeColor="text1"/>
          <w:sz w:val="18"/>
          <w:szCs w:val="18"/>
          <w:lang w:val="ro-RO"/>
        </w:rPr>
        <w:t>Părțile interesate ar trebui să includă direcțiile guvernamentale relevante, de exemplu direcția de laboratoare, direcția de sănătate comunitară, direcția de resurse umane pentru sănătate.</w:t>
      </w:r>
    </w:p>
  </w:footnote>
  <w:footnote w:id="14">
    <w:p w14:paraId="0880AD6A" w14:textId="13BDC4A4" w:rsidR="002615AF" w:rsidRPr="002615AF" w:rsidRDefault="002615AF">
      <w:pPr>
        <w:pStyle w:val="FootnoteText"/>
        <w:rPr>
          <w:lang w:val="ro-RO"/>
        </w:rPr>
      </w:pPr>
      <w:r>
        <w:rPr>
          <w:rStyle w:val="FootnoteReference"/>
        </w:rPr>
        <w:footnoteRef/>
      </w:r>
      <w:r w:rsidRPr="002615AF">
        <w:rPr>
          <w:lang w:val="ro-RO"/>
        </w:rPr>
        <w:t xml:space="preserve"> </w:t>
      </w:r>
      <w:r>
        <w:fldChar w:fldCharType="begin"/>
      </w:r>
      <w:r w:rsidRPr="00F47A89">
        <w:rPr>
          <w:lang w:val="ro-RO"/>
        </w:rPr>
        <w:instrText>HYPERLINK "https://resources.theglobalfund.org/en/grant-life-cycle/applying-for-funding/"</w:instrText>
      </w:r>
      <w:r>
        <w:fldChar w:fldCharType="separate"/>
      </w:r>
      <w:r w:rsidRPr="002615AF">
        <w:rPr>
          <w:rStyle w:val="Hyperlink"/>
          <w:rFonts w:ascii="Arial" w:hAnsi="Arial" w:cs="Arial"/>
          <w:sz w:val="18"/>
          <w:szCs w:val="18"/>
          <w:lang w:val="ro-RO"/>
        </w:rPr>
        <w:t>https://resources.theglobalfund.org/en/grant-life-cycle/applying-for-funding/</w:t>
      </w:r>
      <w:r>
        <w:fldChar w:fldCharType="end"/>
      </w:r>
      <w:r w:rsidRPr="002615AF">
        <w:rPr>
          <w:rFonts w:ascii="Arial" w:hAnsi="Arial" w:cs="Arial"/>
          <w:sz w:val="18"/>
          <w:szCs w:val="18"/>
          <w:lang w:val="ro-RO"/>
        </w:rPr>
        <w:t xml:space="preserve"> </w:t>
      </w:r>
    </w:p>
  </w:footnote>
  <w:footnote w:id="15">
    <w:p w14:paraId="78F37B84" w14:textId="010C03ED" w:rsidR="002615AF" w:rsidRPr="002615AF" w:rsidRDefault="002615AF">
      <w:pPr>
        <w:pStyle w:val="FootnoteText"/>
        <w:rPr>
          <w:lang w:val="ro-RO"/>
        </w:rPr>
      </w:pPr>
      <w:r>
        <w:rPr>
          <w:rStyle w:val="FootnoteReference"/>
        </w:rPr>
        <w:footnoteRef/>
      </w:r>
      <w:r w:rsidRPr="002615AF">
        <w:rPr>
          <w:lang w:val="ro-RO"/>
        </w:rPr>
        <w:t xml:space="preserve"> </w:t>
      </w:r>
      <w:r>
        <w:fldChar w:fldCharType="begin"/>
      </w:r>
      <w:r w:rsidRPr="00F47A89">
        <w:rPr>
          <w:lang w:val="ro-RO"/>
        </w:rPr>
        <w:instrText>HYPERLINK "https://resources.theglobalfund.org/en/policies-requirements/portfolio-categorization/focused-portfolios/"</w:instrText>
      </w:r>
      <w:r>
        <w:fldChar w:fldCharType="separate"/>
      </w:r>
      <w:r w:rsidRPr="002615AF">
        <w:rPr>
          <w:rStyle w:val="Hyperlink"/>
          <w:rFonts w:ascii="Arial" w:hAnsi="Arial" w:cs="Arial"/>
          <w:sz w:val="18"/>
          <w:szCs w:val="18"/>
          <w:lang w:val="ro-RO"/>
        </w:rPr>
        <w:t>https://resources.theglobalfund.org/en/policies-requirements/portfolio-categorization/focused-portfolios/</w:t>
      </w:r>
      <w:r>
        <w:fldChar w:fldCharType="end"/>
      </w:r>
      <w:r>
        <w:rPr>
          <w:lang w:val="ro-RO"/>
        </w:rPr>
        <w:t xml:space="preserve"> </w:t>
      </w:r>
    </w:p>
  </w:footnote>
  <w:footnote w:id="16">
    <w:p w14:paraId="78240E99" w14:textId="3DC5EFA9" w:rsidR="002615AF" w:rsidRPr="002615AF" w:rsidRDefault="002615AF">
      <w:pPr>
        <w:pStyle w:val="FootnoteText"/>
        <w:rPr>
          <w:lang w:val="ro-RO"/>
        </w:rPr>
      </w:pPr>
      <w:r>
        <w:rPr>
          <w:rStyle w:val="FootnoteReference"/>
        </w:rPr>
        <w:footnoteRef/>
      </w:r>
      <w:r w:rsidRPr="002615AF">
        <w:rPr>
          <w:lang w:val="ro-RO"/>
        </w:rPr>
        <w:t xml:space="preserve"> </w:t>
      </w:r>
      <w:r>
        <w:fldChar w:fldCharType="begin"/>
      </w:r>
      <w:r w:rsidRPr="00F47A89">
        <w:rPr>
          <w:lang w:val="ro-RO"/>
        </w:rPr>
        <w:instrText>HYPERLINK "https://www.theglobalfund.org/en/sourcing-management/procurement-tools/"</w:instrText>
      </w:r>
      <w:r>
        <w:fldChar w:fldCharType="separate"/>
      </w:r>
      <w:r w:rsidRPr="002615AF">
        <w:rPr>
          <w:rStyle w:val="Hyperlink"/>
          <w:rFonts w:ascii="Arial" w:hAnsi="Arial" w:cs="Arial"/>
          <w:sz w:val="18"/>
          <w:szCs w:val="18"/>
          <w:lang w:val="ro-RO"/>
        </w:rPr>
        <w:t>https://www.theglobalfund.org/en/sourcing-management/procurement-tools/</w:t>
      </w:r>
      <w:r>
        <w:fldChar w:fldCharType="end"/>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806"/>
    <w:multiLevelType w:val="multilevel"/>
    <w:tmpl w:val="2DFC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A7173"/>
    <w:multiLevelType w:val="multilevel"/>
    <w:tmpl w:val="2E38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5483A"/>
    <w:multiLevelType w:val="multilevel"/>
    <w:tmpl w:val="3234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6541C"/>
    <w:multiLevelType w:val="multilevel"/>
    <w:tmpl w:val="E144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66520"/>
    <w:multiLevelType w:val="hybridMultilevel"/>
    <w:tmpl w:val="892C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62550"/>
    <w:multiLevelType w:val="multilevel"/>
    <w:tmpl w:val="5F3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249691">
    <w:abstractNumId w:val="5"/>
  </w:num>
  <w:num w:numId="2" w16cid:durableId="1099519871">
    <w:abstractNumId w:val="3"/>
  </w:num>
  <w:num w:numId="3" w16cid:durableId="532231119">
    <w:abstractNumId w:val="4"/>
  </w:num>
  <w:num w:numId="4" w16cid:durableId="23413080">
    <w:abstractNumId w:val="2"/>
  </w:num>
  <w:num w:numId="5" w16cid:durableId="1263874004">
    <w:abstractNumId w:val="1"/>
  </w:num>
  <w:num w:numId="6" w16cid:durableId="94138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F0"/>
    <w:rsid w:val="00057740"/>
    <w:rsid w:val="002615AF"/>
    <w:rsid w:val="005E7359"/>
    <w:rsid w:val="00686233"/>
    <w:rsid w:val="006F6869"/>
    <w:rsid w:val="00717DF0"/>
    <w:rsid w:val="00A84827"/>
    <w:rsid w:val="00AE44A3"/>
    <w:rsid w:val="00B11CFE"/>
    <w:rsid w:val="00C31FFF"/>
    <w:rsid w:val="00C744FB"/>
    <w:rsid w:val="00E34247"/>
    <w:rsid w:val="00EF192F"/>
    <w:rsid w:val="00F47A89"/>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FDA4"/>
  <w15:chartTrackingRefBased/>
  <w15:docId w15:val="{61B4BEB2-BF46-EB44-8219-BCFB8C71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F0"/>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17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7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7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DF0"/>
    <w:rPr>
      <w:rFonts w:eastAsiaTheme="majorEastAsia" w:cstheme="majorBidi"/>
      <w:color w:val="272727" w:themeColor="text1" w:themeTint="D8"/>
    </w:rPr>
  </w:style>
  <w:style w:type="paragraph" w:styleId="Title">
    <w:name w:val="Title"/>
    <w:basedOn w:val="Normal"/>
    <w:next w:val="Normal"/>
    <w:link w:val="TitleChar"/>
    <w:uiPriority w:val="10"/>
    <w:qFormat/>
    <w:rsid w:val="00717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DF0"/>
    <w:pPr>
      <w:spacing w:before="160"/>
      <w:jc w:val="center"/>
    </w:pPr>
    <w:rPr>
      <w:i/>
      <w:iCs/>
      <w:color w:val="404040" w:themeColor="text1" w:themeTint="BF"/>
    </w:rPr>
  </w:style>
  <w:style w:type="character" w:customStyle="1" w:styleId="QuoteChar">
    <w:name w:val="Quote Char"/>
    <w:basedOn w:val="DefaultParagraphFont"/>
    <w:link w:val="Quote"/>
    <w:uiPriority w:val="29"/>
    <w:rsid w:val="00717DF0"/>
    <w:rPr>
      <w:i/>
      <w:iCs/>
      <w:color w:val="404040" w:themeColor="text1" w:themeTint="BF"/>
    </w:rPr>
  </w:style>
  <w:style w:type="paragraph" w:styleId="ListParagraph">
    <w:name w:val="List Paragraph"/>
    <w:basedOn w:val="Normal"/>
    <w:uiPriority w:val="34"/>
    <w:qFormat/>
    <w:rsid w:val="00717DF0"/>
    <w:pPr>
      <w:ind w:left="720"/>
      <w:contextualSpacing/>
    </w:pPr>
  </w:style>
  <w:style w:type="character" w:styleId="IntenseEmphasis">
    <w:name w:val="Intense Emphasis"/>
    <w:basedOn w:val="DefaultParagraphFont"/>
    <w:uiPriority w:val="21"/>
    <w:qFormat/>
    <w:rsid w:val="00717DF0"/>
    <w:rPr>
      <w:i/>
      <w:iCs/>
      <w:color w:val="0F4761" w:themeColor="accent1" w:themeShade="BF"/>
    </w:rPr>
  </w:style>
  <w:style w:type="paragraph" w:styleId="IntenseQuote">
    <w:name w:val="Intense Quote"/>
    <w:basedOn w:val="Normal"/>
    <w:next w:val="Normal"/>
    <w:link w:val="IntenseQuoteChar"/>
    <w:uiPriority w:val="30"/>
    <w:qFormat/>
    <w:rsid w:val="00717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DF0"/>
    <w:rPr>
      <w:i/>
      <w:iCs/>
      <w:color w:val="0F4761" w:themeColor="accent1" w:themeShade="BF"/>
    </w:rPr>
  </w:style>
  <w:style w:type="character" w:styleId="IntenseReference">
    <w:name w:val="Intense Reference"/>
    <w:basedOn w:val="DefaultParagraphFont"/>
    <w:uiPriority w:val="32"/>
    <w:qFormat/>
    <w:rsid w:val="00717DF0"/>
    <w:rPr>
      <w:b/>
      <w:bCs/>
      <w:smallCaps/>
      <w:color w:val="0F4761" w:themeColor="accent1" w:themeShade="BF"/>
      <w:spacing w:val="5"/>
    </w:rPr>
  </w:style>
  <w:style w:type="paragraph" w:styleId="BodyText">
    <w:name w:val="Body Text"/>
    <w:basedOn w:val="Normal"/>
    <w:link w:val="BodyTextChar"/>
    <w:uiPriority w:val="1"/>
    <w:qFormat/>
    <w:rsid w:val="00717DF0"/>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717DF0"/>
    <w:rPr>
      <w:rFonts w:ascii="Arial MT" w:eastAsia="Arial MT" w:hAnsi="Arial MT" w:cs="Arial MT"/>
      <w:kern w:val="0"/>
      <w:sz w:val="22"/>
      <w:szCs w:val="22"/>
      <w:lang w:val="en-US"/>
      <w14:ligatures w14:val="none"/>
    </w:rPr>
  </w:style>
  <w:style w:type="paragraph" w:styleId="NormalWeb">
    <w:name w:val="Normal (Web)"/>
    <w:basedOn w:val="Normal"/>
    <w:uiPriority w:val="99"/>
    <w:unhideWhenUsed/>
    <w:rsid w:val="00717DF0"/>
    <w:pPr>
      <w:spacing w:before="100" w:beforeAutospacing="1" w:after="100" w:afterAutospacing="1" w:line="240" w:lineRule="auto"/>
    </w:pPr>
    <w:rPr>
      <w:rFonts w:ascii="Times New Roman" w:eastAsia="Times New Roman" w:hAnsi="Times New Roman" w:cs="Times New Roman"/>
      <w:sz w:val="24"/>
      <w:szCs w:val="24"/>
      <w:lang w:val="en-MD"/>
    </w:rPr>
  </w:style>
  <w:style w:type="character" w:styleId="Strong">
    <w:name w:val="Strong"/>
    <w:basedOn w:val="DefaultParagraphFont"/>
    <w:uiPriority w:val="22"/>
    <w:qFormat/>
    <w:rsid w:val="00717DF0"/>
    <w:rPr>
      <w:b/>
      <w:bCs/>
    </w:rPr>
  </w:style>
  <w:style w:type="paragraph" w:customStyle="1" w:styleId="TableParagraph">
    <w:name w:val="Table Paragraph"/>
    <w:basedOn w:val="Normal"/>
    <w:uiPriority w:val="1"/>
    <w:qFormat/>
    <w:rsid w:val="00717DF0"/>
    <w:pPr>
      <w:widowControl w:val="0"/>
      <w:autoSpaceDE w:val="0"/>
      <w:autoSpaceDN w:val="0"/>
      <w:spacing w:after="0" w:line="248" w:lineRule="exact"/>
      <w:ind w:left="615" w:right="146"/>
      <w:jc w:val="center"/>
    </w:pPr>
    <w:rPr>
      <w:rFonts w:ascii="Arial" w:eastAsia="Arial" w:hAnsi="Arial" w:cs="Arial"/>
    </w:rPr>
  </w:style>
  <w:style w:type="paragraph" w:styleId="Header">
    <w:name w:val="header"/>
    <w:basedOn w:val="Normal"/>
    <w:link w:val="HeaderChar"/>
    <w:uiPriority w:val="99"/>
    <w:unhideWhenUsed/>
    <w:rsid w:val="00717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F0"/>
    <w:rPr>
      <w:rFonts w:eastAsiaTheme="minorEastAsia"/>
      <w:kern w:val="0"/>
      <w:sz w:val="22"/>
      <w:szCs w:val="22"/>
      <w:lang w:val="en-US"/>
      <w14:ligatures w14:val="none"/>
    </w:rPr>
  </w:style>
  <w:style w:type="paragraph" w:styleId="Footer">
    <w:name w:val="footer"/>
    <w:basedOn w:val="Normal"/>
    <w:link w:val="FooterChar"/>
    <w:uiPriority w:val="99"/>
    <w:unhideWhenUsed/>
    <w:rsid w:val="00717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F0"/>
    <w:rPr>
      <w:rFonts w:eastAsiaTheme="minorEastAsia"/>
      <w:kern w:val="0"/>
      <w:sz w:val="22"/>
      <w:szCs w:val="22"/>
      <w:lang w:val="en-US"/>
      <w14:ligatures w14:val="none"/>
    </w:rPr>
  </w:style>
  <w:style w:type="character" w:customStyle="1" w:styleId="apple-converted-space">
    <w:name w:val="apple-converted-space"/>
    <w:basedOn w:val="DefaultParagraphFont"/>
    <w:rsid w:val="00717DF0"/>
  </w:style>
  <w:style w:type="table" w:styleId="TableGrid">
    <w:name w:val="Table Grid"/>
    <w:basedOn w:val="TableNormal"/>
    <w:uiPriority w:val="39"/>
    <w:rsid w:val="00C3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4A3"/>
    <w:rPr>
      <w:color w:val="467886" w:themeColor="hyperlink"/>
      <w:u w:val="single"/>
    </w:rPr>
  </w:style>
  <w:style w:type="character" w:styleId="UnresolvedMention">
    <w:name w:val="Unresolved Mention"/>
    <w:basedOn w:val="DefaultParagraphFont"/>
    <w:uiPriority w:val="99"/>
    <w:semiHidden/>
    <w:unhideWhenUsed/>
    <w:rsid w:val="00AE44A3"/>
    <w:rPr>
      <w:color w:val="605E5C"/>
      <w:shd w:val="clear" w:color="auto" w:fill="E1DFDD"/>
    </w:rPr>
  </w:style>
  <w:style w:type="paragraph" w:styleId="FootnoteText">
    <w:name w:val="footnote text"/>
    <w:basedOn w:val="Normal"/>
    <w:link w:val="FootnoteTextChar"/>
    <w:uiPriority w:val="99"/>
    <w:semiHidden/>
    <w:unhideWhenUsed/>
    <w:rsid w:val="00AE44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4A3"/>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AE44A3"/>
    <w:rPr>
      <w:vertAlign w:val="superscript"/>
    </w:rPr>
  </w:style>
  <w:style w:type="paragraph" w:customStyle="1" w:styleId="p1">
    <w:name w:val="p1"/>
    <w:basedOn w:val="Normal"/>
    <w:rsid w:val="002615AF"/>
    <w:pPr>
      <w:spacing w:after="0" w:line="240" w:lineRule="auto"/>
    </w:pPr>
    <w:rPr>
      <w:rFonts w:ascii="Arial" w:eastAsia="Times New Roman" w:hAnsi="Arial" w:cs="Arial"/>
      <w:color w:val="222EF7"/>
      <w:sz w:val="12"/>
      <w:szCs w:val="12"/>
      <w:lang w:val="en-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12122">
      <w:bodyDiv w:val="1"/>
      <w:marLeft w:val="0"/>
      <w:marRight w:val="0"/>
      <w:marTop w:val="0"/>
      <w:marBottom w:val="0"/>
      <w:divBdr>
        <w:top w:val="none" w:sz="0" w:space="0" w:color="auto"/>
        <w:left w:val="none" w:sz="0" w:space="0" w:color="auto"/>
        <w:bottom w:val="none" w:sz="0" w:space="0" w:color="auto"/>
        <w:right w:val="none" w:sz="0" w:space="0" w:color="auto"/>
      </w:divBdr>
    </w:div>
    <w:div w:id="941645199">
      <w:bodyDiv w:val="1"/>
      <w:marLeft w:val="0"/>
      <w:marRight w:val="0"/>
      <w:marTop w:val="0"/>
      <w:marBottom w:val="0"/>
      <w:divBdr>
        <w:top w:val="none" w:sz="0" w:space="0" w:color="auto"/>
        <w:left w:val="none" w:sz="0" w:space="0" w:color="auto"/>
        <w:bottom w:val="none" w:sz="0" w:space="0" w:color="auto"/>
        <w:right w:val="none" w:sz="0" w:space="0" w:color="auto"/>
      </w:divBdr>
    </w:div>
    <w:div w:id="977148510">
      <w:bodyDiv w:val="1"/>
      <w:marLeft w:val="0"/>
      <w:marRight w:val="0"/>
      <w:marTop w:val="0"/>
      <w:marBottom w:val="0"/>
      <w:divBdr>
        <w:top w:val="none" w:sz="0" w:space="0" w:color="auto"/>
        <w:left w:val="none" w:sz="0" w:space="0" w:color="auto"/>
        <w:bottom w:val="none" w:sz="0" w:space="0" w:color="auto"/>
        <w:right w:val="none" w:sz="0" w:space="0" w:color="auto"/>
      </w:divBdr>
    </w:div>
    <w:div w:id="1152136855">
      <w:bodyDiv w:val="1"/>
      <w:marLeft w:val="0"/>
      <w:marRight w:val="0"/>
      <w:marTop w:val="0"/>
      <w:marBottom w:val="0"/>
      <w:divBdr>
        <w:top w:val="none" w:sz="0" w:space="0" w:color="auto"/>
        <w:left w:val="none" w:sz="0" w:space="0" w:color="auto"/>
        <w:bottom w:val="none" w:sz="0" w:space="0" w:color="auto"/>
        <w:right w:val="none" w:sz="0" w:space="0" w:color="auto"/>
      </w:divBdr>
    </w:div>
    <w:div w:id="1246651470">
      <w:bodyDiv w:val="1"/>
      <w:marLeft w:val="0"/>
      <w:marRight w:val="0"/>
      <w:marTop w:val="0"/>
      <w:marBottom w:val="0"/>
      <w:divBdr>
        <w:top w:val="none" w:sz="0" w:space="0" w:color="auto"/>
        <w:left w:val="none" w:sz="0" w:space="0" w:color="auto"/>
        <w:bottom w:val="none" w:sz="0" w:space="0" w:color="auto"/>
        <w:right w:val="none" w:sz="0" w:space="0" w:color="auto"/>
      </w:divBdr>
    </w:div>
    <w:div w:id="1282999670">
      <w:bodyDiv w:val="1"/>
      <w:marLeft w:val="0"/>
      <w:marRight w:val="0"/>
      <w:marTop w:val="0"/>
      <w:marBottom w:val="0"/>
      <w:divBdr>
        <w:top w:val="none" w:sz="0" w:space="0" w:color="auto"/>
        <w:left w:val="none" w:sz="0" w:space="0" w:color="auto"/>
        <w:bottom w:val="none" w:sz="0" w:space="0" w:color="auto"/>
        <w:right w:val="none" w:sz="0" w:space="0" w:color="auto"/>
      </w:divBdr>
    </w:div>
    <w:div w:id="18421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103C-2631-4A45-85E3-3A79A043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Sochirca</dc:creator>
  <cp:keywords/>
  <dc:description/>
  <cp:lastModifiedBy>Adelina Sochirca</cp:lastModifiedBy>
  <cp:revision>2</cp:revision>
  <dcterms:created xsi:type="dcterms:W3CDTF">2026-03-16T10:32:00Z</dcterms:created>
  <dcterms:modified xsi:type="dcterms:W3CDTF">2026-03-16T11:41:00Z</dcterms:modified>
</cp:coreProperties>
</file>